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jc w:val="center"/>
        <w:tblBorders>
          <w:insideH w:val="single" w:sz="4" w:space="0" w:color="FF6600"/>
        </w:tblBorders>
        <w:tblLayout w:type="fixed"/>
        <w:tblLook w:val="01E0"/>
      </w:tblPr>
      <w:tblGrid>
        <w:gridCol w:w="2444"/>
        <w:gridCol w:w="7582"/>
      </w:tblGrid>
      <w:tr w:rsidR="00B640C8" w:rsidTr="006C6D36">
        <w:trPr>
          <w:cantSplit/>
          <w:trHeight w:val="893"/>
          <w:jc w:val="center"/>
        </w:trPr>
        <w:tc>
          <w:tcPr>
            <w:tcW w:w="2444" w:type="dxa"/>
            <w:vMerge w:val="restart"/>
            <w:vAlign w:val="center"/>
          </w:tcPr>
          <w:p w:rsidR="00B640C8" w:rsidRDefault="000633CE" w:rsidP="006C6D36">
            <w:pPr>
              <w:jc w:val="center"/>
              <w:rPr>
                <w:lang w:val="en-US"/>
              </w:rPr>
            </w:pPr>
            <w:r>
              <w:rPr>
                <w:noProof/>
              </w:rPr>
              <w:drawing>
                <wp:anchor distT="0" distB="0" distL="114300" distR="114300" simplePos="0" relativeHeight="251652608" behindDoc="1" locked="0" layoutInCell="1" allowOverlap="1">
                  <wp:simplePos x="0" y="0"/>
                  <wp:positionH relativeFrom="column">
                    <wp:posOffset>20320</wp:posOffset>
                  </wp:positionH>
                  <wp:positionV relativeFrom="paragraph">
                    <wp:posOffset>-100330</wp:posOffset>
                  </wp:positionV>
                  <wp:extent cx="1252855" cy="1011555"/>
                  <wp:effectExtent l="19050" t="0" r="4445" b="0"/>
                  <wp:wrapNone/>
                  <wp:docPr id="7" name="Εικόνα 10" descr="imelogofin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melogofinal5"/>
                          <pic:cNvPicPr>
                            <a:picLocks noChangeAspect="1" noChangeArrowheads="1"/>
                          </pic:cNvPicPr>
                        </pic:nvPicPr>
                        <pic:blipFill>
                          <a:blip r:embed="rId8"/>
                          <a:srcRect/>
                          <a:stretch>
                            <a:fillRect/>
                          </a:stretch>
                        </pic:blipFill>
                        <pic:spPr bwMode="auto">
                          <a:xfrm>
                            <a:off x="0" y="0"/>
                            <a:ext cx="1252855" cy="1011555"/>
                          </a:xfrm>
                          <a:prstGeom prst="rect">
                            <a:avLst/>
                          </a:prstGeom>
                          <a:noFill/>
                          <a:ln w="9525">
                            <a:noFill/>
                            <a:miter lim="800000"/>
                            <a:headEnd/>
                            <a:tailEnd/>
                          </a:ln>
                        </pic:spPr>
                      </pic:pic>
                    </a:graphicData>
                  </a:graphic>
                </wp:anchor>
              </w:drawing>
            </w:r>
          </w:p>
        </w:tc>
        <w:tc>
          <w:tcPr>
            <w:tcW w:w="7582" w:type="dxa"/>
            <w:vAlign w:val="center"/>
          </w:tcPr>
          <w:p w:rsidR="00B640C8" w:rsidRDefault="00B640C8" w:rsidP="006C6D36">
            <w:pPr>
              <w:autoSpaceDE w:val="0"/>
              <w:autoSpaceDN w:val="0"/>
              <w:adjustRightInd w:val="0"/>
              <w:jc w:val="center"/>
              <w:rPr>
                <w:rFonts w:ascii="Trebuchet MS" w:hAnsi="Trebuchet MS" w:cs="Trebuchet MS"/>
                <w:b/>
                <w:bCs/>
                <w:color w:val="626262"/>
                <w:spacing w:val="20"/>
                <w:sz w:val="30"/>
                <w:szCs w:val="30"/>
              </w:rPr>
            </w:pPr>
            <w:r>
              <w:rPr>
                <w:rFonts w:ascii="Trebuchet MS" w:hAnsi="Trebuchet MS" w:cs="Trebuchet MS"/>
                <w:b/>
                <w:bCs/>
                <w:color w:val="626262"/>
                <w:spacing w:val="20"/>
                <w:sz w:val="40"/>
                <w:szCs w:val="40"/>
              </w:rPr>
              <w:t xml:space="preserve">ΙΝΣΤΙΤΟΥΤΟ ΜΙΚΡΩΝ ΕΠΙΧΕΙΡΗΣΕΩΝ        </w:t>
            </w:r>
          </w:p>
          <w:p w:rsidR="00B640C8" w:rsidRDefault="00B640C8" w:rsidP="006C6D36">
            <w:pPr>
              <w:autoSpaceDE w:val="0"/>
              <w:autoSpaceDN w:val="0"/>
              <w:adjustRightInd w:val="0"/>
              <w:jc w:val="center"/>
              <w:rPr>
                <w:rFonts w:ascii="Trebuchet MS" w:hAnsi="Trebuchet MS" w:cs="Trebuchet MS"/>
                <w:b/>
                <w:bCs/>
                <w:color w:val="626262"/>
                <w:spacing w:val="20"/>
              </w:rPr>
            </w:pPr>
            <w:r>
              <w:rPr>
                <w:rFonts w:ascii="Trebuchet MS" w:hAnsi="Trebuchet MS" w:cs="Trebuchet MS"/>
                <w:b/>
                <w:bCs/>
                <w:color w:val="626262"/>
                <w:spacing w:val="20"/>
              </w:rPr>
              <w:t xml:space="preserve">ΓΕΝΙΚΗ ΣΥΝΟΜΟΣΠΟΝΔΙΑ  ΕΠΑΓΓΕΛΜΑΤΙΩΝ  ΒΙΟΤΕΧΝΩΝ ΕΜΠΟΡΩΝ  ΕΛΛΑΔΑΣ </w:t>
            </w:r>
          </w:p>
        </w:tc>
      </w:tr>
      <w:tr w:rsidR="00B640C8" w:rsidTr="006C6D36">
        <w:trPr>
          <w:cantSplit/>
          <w:trHeight w:val="70"/>
          <w:jc w:val="center"/>
        </w:trPr>
        <w:tc>
          <w:tcPr>
            <w:tcW w:w="2444" w:type="dxa"/>
            <w:vMerge/>
          </w:tcPr>
          <w:p w:rsidR="00B640C8" w:rsidRDefault="00B640C8" w:rsidP="006C6D36"/>
        </w:tc>
        <w:tc>
          <w:tcPr>
            <w:tcW w:w="7582" w:type="dxa"/>
            <w:vAlign w:val="center"/>
          </w:tcPr>
          <w:p w:rsidR="00B640C8" w:rsidRDefault="00B640C8" w:rsidP="006C6D36">
            <w:pPr>
              <w:autoSpaceDE w:val="0"/>
              <w:autoSpaceDN w:val="0"/>
              <w:adjustRightInd w:val="0"/>
              <w:jc w:val="center"/>
              <w:rPr>
                <w:rFonts w:ascii="Century Gothic" w:hAnsi="Century Gothic" w:cs="Trebuchet MS"/>
                <w:b/>
                <w:bCs/>
                <w:color w:val="626262"/>
              </w:rPr>
            </w:pPr>
            <w:r>
              <w:rPr>
                <w:rFonts w:ascii="Century Gothic" w:hAnsi="Century Gothic" w:cs="Trebuchet MS"/>
                <w:b/>
                <w:bCs/>
                <w:color w:val="626262"/>
                <w:sz w:val="22"/>
                <w:szCs w:val="22"/>
              </w:rPr>
              <w:t xml:space="preserve">Αριστοτέλους 46, 104 33 Αθήνα, </w:t>
            </w:r>
            <w:proofErr w:type="spellStart"/>
            <w:r>
              <w:rPr>
                <w:rFonts w:ascii="Century Gothic" w:hAnsi="Century Gothic" w:cs="Trebuchet MS"/>
                <w:b/>
                <w:bCs/>
                <w:color w:val="626262"/>
                <w:sz w:val="22"/>
                <w:szCs w:val="22"/>
              </w:rPr>
              <w:t>Τηλ</w:t>
            </w:r>
            <w:proofErr w:type="spellEnd"/>
            <w:r>
              <w:rPr>
                <w:rFonts w:ascii="Century Gothic" w:hAnsi="Century Gothic" w:cs="Trebuchet MS"/>
                <w:b/>
                <w:bCs/>
                <w:color w:val="626262"/>
                <w:sz w:val="22"/>
                <w:szCs w:val="22"/>
              </w:rPr>
              <w:t xml:space="preserve">. 210 8846852, </w:t>
            </w:r>
            <w:proofErr w:type="spellStart"/>
            <w:r>
              <w:rPr>
                <w:rFonts w:ascii="Century Gothic" w:hAnsi="Century Gothic" w:cs="Trebuchet MS"/>
                <w:b/>
                <w:bCs/>
                <w:color w:val="626262"/>
                <w:sz w:val="22"/>
                <w:szCs w:val="22"/>
              </w:rPr>
              <w:t>Fax</w:t>
            </w:r>
            <w:proofErr w:type="spellEnd"/>
            <w:r>
              <w:rPr>
                <w:rFonts w:ascii="Century Gothic" w:hAnsi="Century Gothic" w:cs="Trebuchet MS"/>
                <w:b/>
                <w:bCs/>
                <w:color w:val="626262"/>
                <w:sz w:val="22"/>
                <w:szCs w:val="22"/>
              </w:rPr>
              <w:t>. 210 8846853</w:t>
            </w:r>
          </w:p>
          <w:p w:rsidR="00B640C8" w:rsidRDefault="00D67221" w:rsidP="006C6D36">
            <w:pPr>
              <w:autoSpaceDE w:val="0"/>
              <w:autoSpaceDN w:val="0"/>
              <w:adjustRightInd w:val="0"/>
              <w:jc w:val="center"/>
              <w:rPr>
                <w:rFonts w:ascii="Trebuchet MS" w:hAnsi="Trebuchet MS" w:cs="Trebuchet MS"/>
                <w:b/>
                <w:bCs/>
                <w:color w:val="626262"/>
              </w:rPr>
            </w:pPr>
            <w:hyperlink r:id="rId9" w:history="1">
              <w:r w:rsidR="00B640C8">
                <w:rPr>
                  <w:rFonts w:ascii="Century Gothic" w:hAnsi="Century Gothic" w:cs="Trebuchet MS"/>
                  <w:b/>
                  <w:bCs/>
                  <w:color w:val="626262"/>
                  <w:sz w:val="22"/>
                  <w:szCs w:val="22"/>
                </w:rPr>
                <w:t>www.imegsevee.gr</w:t>
              </w:r>
            </w:hyperlink>
            <w:r w:rsidR="00B640C8">
              <w:rPr>
                <w:rFonts w:ascii="Century Gothic" w:hAnsi="Century Gothic" w:cs="Trebuchet MS"/>
                <w:b/>
                <w:bCs/>
                <w:color w:val="626262"/>
                <w:sz w:val="22"/>
                <w:szCs w:val="22"/>
              </w:rPr>
              <w:t xml:space="preserve">, </w:t>
            </w:r>
            <w:hyperlink r:id="rId10" w:history="1">
              <w:r w:rsidR="00B640C8">
                <w:rPr>
                  <w:rFonts w:ascii="Century Gothic" w:hAnsi="Century Gothic" w:cs="Trebuchet MS"/>
                  <w:b/>
                  <w:bCs/>
                  <w:color w:val="626262"/>
                  <w:sz w:val="22"/>
                  <w:szCs w:val="22"/>
                </w:rPr>
                <w:t>info@imegsevee.gr</w:t>
              </w:r>
            </w:hyperlink>
            <w:r w:rsidR="00B640C8">
              <w:rPr>
                <w:rFonts w:ascii="Trebuchet MS" w:hAnsi="Trebuchet MS" w:cs="Trebuchet MS"/>
                <w:b/>
                <w:bCs/>
                <w:color w:val="626262"/>
                <w:sz w:val="22"/>
                <w:szCs w:val="22"/>
              </w:rPr>
              <w:t xml:space="preserve"> </w:t>
            </w:r>
          </w:p>
        </w:tc>
      </w:tr>
    </w:tbl>
    <w:p w:rsidR="00B640C8" w:rsidRPr="00527926" w:rsidRDefault="00CE38CF" w:rsidP="00527926">
      <w:pPr>
        <w:spacing w:line="360" w:lineRule="auto"/>
      </w:pPr>
      <w:r>
        <w:rPr>
          <w:rFonts w:ascii="Arial Narrow" w:hAnsi="Arial Narrow"/>
          <w:sz w:val="22"/>
        </w:rPr>
        <w:t>Αθήνα,</w:t>
      </w:r>
      <w:r w:rsidR="00F6557D">
        <w:rPr>
          <w:rFonts w:ascii="Arial Narrow" w:hAnsi="Arial Narrow"/>
          <w:sz w:val="22"/>
        </w:rPr>
        <w:t xml:space="preserve"> 2 Σεπτεμβρίου</w:t>
      </w:r>
      <w:r w:rsidR="00DE3BED">
        <w:rPr>
          <w:rFonts w:ascii="Arial Narrow" w:hAnsi="Arial Narrow"/>
          <w:sz w:val="22"/>
        </w:rPr>
        <w:t xml:space="preserve"> 201</w:t>
      </w:r>
      <w:r w:rsidR="004B04BD">
        <w:rPr>
          <w:rFonts w:ascii="Arial Narrow" w:hAnsi="Arial Narrow"/>
          <w:sz w:val="22"/>
        </w:rPr>
        <w:t>5</w:t>
      </w:r>
      <w:r w:rsidR="00B640C8">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621053">
        <w:rPr>
          <w:rFonts w:ascii="Arial Narrow" w:hAnsi="Arial Narrow"/>
          <w:sz w:val="22"/>
        </w:rPr>
        <w:tab/>
      </w:r>
      <w:r w:rsidR="00B640C8" w:rsidRPr="002C5FB3">
        <w:rPr>
          <w:rFonts w:ascii="Arial Narrow" w:hAnsi="Arial Narrow"/>
          <w:sz w:val="22"/>
        </w:rPr>
        <w:t xml:space="preserve">   </w:t>
      </w:r>
      <w:r w:rsidR="00B640C8" w:rsidRPr="009C1013">
        <w:rPr>
          <w:rFonts w:ascii="Arial Narrow" w:hAnsi="Arial Narrow"/>
          <w:sz w:val="22"/>
        </w:rPr>
        <w:tab/>
      </w:r>
      <w:r w:rsidR="00B640C8" w:rsidRPr="002C5FB3">
        <w:rPr>
          <w:rFonts w:ascii="Arial Narrow" w:hAnsi="Arial Narrow"/>
          <w:sz w:val="22"/>
        </w:rPr>
        <w:t xml:space="preserve">   </w:t>
      </w:r>
      <w:r w:rsidR="00B640C8">
        <w:rPr>
          <w:rFonts w:ascii="Arial Narrow" w:hAnsi="Arial Narrow"/>
          <w:sz w:val="22"/>
        </w:rPr>
        <w:tab/>
        <w:t xml:space="preserve">      </w:t>
      </w:r>
      <w:r w:rsidR="00B640C8" w:rsidRPr="002C5FB3">
        <w:rPr>
          <w:rFonts w:ascii="Arial Narrow" w:hAnsi="Arial Narrow"/>
          <w:sz w:val="22"/>
        </w:rPr>
        <w:t xml:space="preserve">       </w:t>
      </w:r>
      <w:r w:rsidR="000633CE">
        <w:rPr>
          <w:noProof/>
        </w:rPr>
        <w:drawing>
          <wp:inline distT="0" distB="0" distL="0" distR="0">
            <wp:extent cx="755015" cy="605790"/>
            <wp:effectExtent l="19050" t="0" r="6985" b="0"/>
            <wp:docPr id="1" name="Εικόνα 1" descr="Kinima Poli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Kinima Politon 2"/>
                    <pic:cNvPicPr>
                      <a:picLocks noChangeAspect="1" noChangeArrowheads="1"/>
                    </pic:cNvPicPr>
                  </pic:nvPicPr>
                  <pic:blipFill>
                    <a:blip r:embed="rId11"/>
                    <a:srcRect/>
                    <a:stretch>
                      <a:fillRect/>
                    </a:stretch>
                  </pic:blipFill>
                  <pic:spPr bwMode="auto">
                    <a:xfrm>
                      <a:off x="0" y="0"/>
                      <a:ext cx="755015" cy="605790"/>
                    </a:xfrm>
                    <a:prstGeom prst="rect">
                      <a:avLst/>
                    </a:prstGeom>
                    <a:noFill/>
                    <a:ln w="9525">
                      <a:noFill/>
                      <a:miter lim="800000"/>
                      <a:headEnd/>
                      <a:tailEnd/>
                    </a:ln>
                  </pic:spPr>
                </pic:pic>
              </a:graphicData>
            </a:graphic>
          </wp:inline>
        </w:drawing>
      </w:r>
      <w:r w:rsidR="00B640C8" w:rsidRPr="002C5FB3">
        <w:rPr>
          <w:rFonts w:ascii="Arial Narrow" w:hAnsi="Arial Narrow"/>
          <w:sz w:val="22"/>
        </w:rPr>
        <w:t xml:space="preserve"> </w:t>
      </w:r>
      <w:r w:rsidR="00B640C8">
        <w:rPr>
          <w:rFonts w:ascii="Arial Narrow" w:hAnsi="Arial Narrow"/>
          <w:sz w:val="22"/>
        </w:rPr>
        <w:tab/>
      </w:r>
      <w:r w:rsidR="00B640C8" w:rsidRPr="002C5FB3">
        <w:rPr>
          <w:rFonts w:ascii="Arial Narrow" w:hAnsi="Arial Narrow"/>
          <w:sz w:val="22"/>
        </w:rPr>
        <w:t xml:space="preserve"> </w:t>
      </w:r>
    </w:p>
    <w:p w:rsidR="00B640C8" w:rsidRDefault="00B640C8" w:rsidP="00527926">
      <w:pPr>
        <w:pBdr>
          <w:top w:val="single" w:sz="4" w:space="1" w:color="auto"/>
        </w:pBdr>
        <w:spacing w:line="360" w:lineRule="auto"/>
        <w:jc w:val="center"/>
        <w:rPr>
          <w:rFonts w:ascii="Tahoma" w:hAnsi="Tahoma" w:cs="Tahoma"/>
          <w:b/>
          <w:color w:val="0000FF"/>
        </w:rPr>
      </w:pPr>
      <w:r w:rsidRPr="00B429EE">
        <w:rPr>
          <w:rFonts w:ascii="Tahoma" w:hAnsi="Tahoma" w:cs="Tahoma"/>
          <w:b/>
          <w:color w:val="0000FF"/>
        </w:rPr>
        <w:t xml:space="preserve">ΔΕΛΤΙΟ ΤΥΠΟΥ  </w:t>
      </w:r>
    </w:p>
    <w:p w:rsidR="00B640C8" w:rsidRPr="00515965" w:rsidRDefault="00B640C8" w:rsidP="00527926">
      <w:pPr>
        <w:pBdr>
          <w:top w:val="single" w:sz="4" w:space="1" w:color="auto"/>
        </w:pBdr>
        <w:spacing w:line="360" w:lineRule="auto"/>
        <w:jc w:val="center"/>
        <w:rPr>
          <w:rFonts w:ascii="Tahoma" w:hAnsi="Tahoma" w:cs="Tahoma"/>
          <w:color w:val="000000"/>
        </w:rPr>
      </w:pPr>
    </w:p>
    <w:p w:rsidR="00B640C8" w:rsidRPr="00B429EE" w:rsidRDefault="00B640C8" w:rsidP="008F2928">
      <w:pPr>
        <w:jc w:val="both"/>
        <w:rPr>
          <w:rFonts w:ascii="Tahoma" w:hAnsi="Tahoma" w:cs="Tahoma"/>
          <w:b/>
          <w:sz w:val="22"/>
          <w:szCs w:val="22"/>
        </w:rPr>
      </w:pPr>
      <w:r w:rsidRPr="00B429EE">
        <w:rPr>
          <w:rFonts w:ascii="Tahoma" w:hAnsi="Tahoma" w:cs="Tahoma"/>
          <w:b/>
          <w:color w:val="0000FF"/>
          <w:sz w:val="22"/>
          <w:szCs w:val="22"/>
        </w:rPr>
        <w:t>Θέμα:</w:t>
      </w:r>
      <w:r w:rsidRPr="00B429EE">
        <w:rPr>
          <w:rFonts w:ascii="Tahoma" w:hAnsi="Tahoma" w:cs="Tahoma"/>
          <w:b/>
          <w:sz w:val="22"/>
          <w:szCs w:val="22"/>
        </w:rPr>
        <w:t xml:space="preserve"> Έρευνα ΙΜΕ ΓΣΕΒΕΕ- </w:t>
      </w:r>
      <w:r w:rsidR="00E40E98">
        <w:rPr>
          <w:rFonts w:ascii="Tahoma" w:hAnsi="Tahoma" w:cs="Tahoma"/>
          <w:b/>
          <w:sz w:val="22"/>
          <w:szCs w:val="22"/>
        </w:rPr>
        <w:t>Ιούλιος</w:t>
      </w:r>
      <w:r w:rsidR="004B04BD">
        <w:rPr>
          <w:rFonts w:ascii="Tahoma" w:hAnsi="Tahoma" w:cs="Tahoma"/>
          <w:b/>
          <w:sz w:val="22"/>
          <w:szCs w:val="22"/>
        </w:rPr>
        <w:t xml:space="preserve"> 2015</w:t>
      </w:r>
      <w:r w:rsidRPr="00B429EE">
        <w:rPr>
          <w:rFonts w:ascii="Tahoma" w:hAnsi="Tahoma" w:cs="Tahoma"/>
          <w:b/>
          <w:sz w:val="22"/>
          <w:szCs w:val="22"/>
        </w:rPr>
        <w:t xml:space="preserve"> - Εξαμηνιαία αποτύπωση οικονομικού κλίματος στις μικρές επιχειρήσεις (0-49 άτομα προσωπικό οι οποίες αποτελούν το 99,6% των ελληνικών επιχειρήσεων)</w:t>
      </w:r>
    </w:p>
    <w:p w:rsidR="00B640C8" w:rsidRPr="00CB152C" w:rsidRDefault="00B640C8" w:rsidP="00252E0F">
      <w:pPr>
        <w:jc w:val="both"/>
        <w:rPr>
          <w:rFonts w:ascii="Tahoma" w:hAnsi="Tahoma" w:cs="Tahoma"/>
          <w:b/>
          <w:sz w:val="22"/>
          <w:szCs w:val="22"/>
          <w:u w:val="single"/>
        </w:rPr>
      </w:pPr>
    </w:p>
    <w:p w:rsidR="004B04BD" w:rsidRDefault="004B04BD" w:rsidP="004B04BD">
      <w:pPr>
        <w:jc w:val="both"/>
        <w:rPr>
          <w:rFonts w:ascii="Tahoma" w:hAnsi="Tahoma" w:cs="Tahoma"/>
          <w:sz w:val="22"/>
          <w:szCs w:val="22"/>
        </w:rPr>
      </w:pPr>
    </w:p>
    <w:p w:rsidR="00F6557D" w:rsidRPr="007A6E12" w:rsidRDefault="00F6557D" w:rsidP="004B04BD">
      <w:pPr>
        <w:jc w:val="both"/>
        <w:rPr>
          <w:rFonts w:ascii="Tahoma" w:hAnsi="Tahoma" w:cs="Tahoma"/>
          <w:sz w:val="22"/>
          <w:szCs w:val="22"/>
        </w:rPr>
      </w:pPr>
      <w:r>
        <w:rPr>
          <w:rFonts w:ascii="Tahoma" w:hAnsi="Tahoma" w:cs="Tahoma"/>
          <w:sz w:val="22"/>
          <w:szCs w:val="22"/>
        </w:rPr>
        <w:tab/>
        <w:t xml:space="preserve">Σε καθεστώς </w:t>
      </w:r>
      <w:r w:rsidR="00B81B3E">
        <w:rPr>
          <w:rFonts w:ascii="Tahoma" w:hAnsi="Tahoma" w:cs="Tahoma"/>
          <w:sz w:val="22"/>
          <w:szCs w:val="22"/>
        </w:rPr>
        <w:t xml:space="preserve">συρρίκνωσης και </w:t>
      </w:r>
      <w:r>
        <w:rPr>
          <w:rFonts w:ascii="Tahoma" w:hAnsi="Tahoma" w:cs="Tahoma"/>
          <w:sz w:val="22"/>
          <w:szCs w:val="22"/>
        </w:rPr>
        <w:t>διαρκούς ματαίωσης</w:t>
      </w:r>
      <w:r w:rsidR="0043063B">
        <w:rPr>
          <w:rFonts w:ascii="Tahoma" w:hAnsi="Tahoma" w:cs="Tahoma"/>
          <w:sz w:val="22"/>
          <w:szCs w:val="22"/>
        </w:rPr>
        <w:t xml:space="preserve"> </w:t>
      </w:r>
      <w:r w:rsidR="00FA3D17" w:rsidRPr="007A6E12">
        <w:rPr>
          <w:rFonts w:ascii="Tahoma" w:hAnsi="Tahoma" w:cs="Tahoma"/>
          <w:sz w:val="22"/>
          <w:szCs w:val="22"/>
        </w:rPr>
        <w:t>ή</w:t>
      </w:r>
      <w:r w:rsidR="002105DE" w:rsidRPr="007A6E12">
        <w:rPr>
          <w:rFonts w:ascii="Tahoma" w:hAnsi="Tahoma" w:cs="Tahoma"/>
          <w:sz w:val="22"/>
          <w:szCs w:val="22"/>
        </w:rPr>
        <w:t xml:space="preserve"> </w:t>
      </w:r>
      <w:r w:rsidR="0043063B" w:rsidRPr="007A6E12">
        <w:rPr>
          <w:rFonts w:ascii="Tahoma" w:hAnsi="Tahoma" w:cs="Tahoma"/>
          <w:sz w:val="22"/>
          <w:szCs w:val="22"/>
        </w:rPr>
        <w:t>στη καλύτερη των περιπτώσεων</w:t>
      </w:r>
      <w:r w:rsidR="0043063B">
        <w:rPr>
          <w:rFonts w:ascii="Tahoma" w:hAnsi="Tahoma" w:cs="Tahoma"/>
          <w:sz w:val="22"/>
          <w:szCs w:val="22"/>
        </w:rPr>
        <w:t xml:space="preserve"> </w:t>
      </w:r>
      <w:r w:rsidR="002105DE">
        <w:rPr>
          <w:rFonts w:ascii="Tahoma" w:hAnsi="Tahoma" w:cs="Tahoma"/>
          <w:sz w:val="22"/>
          <w:szCs w:val="22"/>
        </w:rPr>
        <w:t>αναστολής</w:t>
      </w:r>
      <w:r>
        <w:rPr>
          <w:rFonts w:ascii="Tahoma" w:hAnsi="Tahoma" w:cs="Tahoma"/>
          <w:sz w:val="22"/>
          <w:szCs w:val="22"/>
        </w:rPr>
        <w:t xml:space="preserve"> των επενδυτικών σχεδίων</w:t>
      </w:r>
      <w:r w:rsidR="004A4072">
        <w:rPr>
          <w:rFonts w:ascii="Tahoma" w:hAnsi="Tahoma" w:cs="Tahoma"/>
          <w:sz w:val="22"/>
          <w:szCs w:val="22"/>
        </w:rPr>
        <w:t xml:space="preserve"> («κλειστό μέχρι νεοτέρας»)</w:t>
      </w:r>
      <w:r>
        <w:rPr>
          <w:rFonts w:ascii="Tahoma" w:hAnsi="Tahoma" w:cs="Tahoma"/>
          <w:sz w:val="22"/>
          <w:szCs w:val="22"/>
        </w:rPr>
        <w:t xml:space="preserve"> βρίσκονται οι μικρομεσαίες επιχειρήσεις, ελλείψει κάθε εξωγενούς </w:t>
      </w:r>
      <w:r w:rsidR="00A67455">
        <w:rPr>
          <w:rFonts w:ascii="Tahoma" w:hAnsi="Tahoma" w:cs="Tahoma"/>
          <w:sz w:val="22"/>
          <w:szCs w:val="22"/>
        </w:rPr>
        <w:t>θετικής</w:t>
      </w:r>
      <w:r>
        <w:rPr>
          <w:rFonts w:ascii="Tahoma" w:hAnsi="Tahoma" w:cs="Tahoma"/>
          <w:sz w:val="22"/>
          <w:szCs w:val="22"/>
        </w:rPr>
        <w:t xml:space="preserve"> προοπτικής</w:t>
      </w:r>
      <w:r w:rsidR="00642C72">
        <w:rPr>
          <w:rFonts w:ascii="Tahoma" w:hAnsi="Tahoma" w:cs="Tahoma"/>
          <w:sz w:val="22"/>
          <w:szCs w:val="22"/>
        </w:rPr>
        <w:t>, σύμφωνα με την τελευταία έρευνα οικονομικού κλίματος που διεξήγαγε το ΙΜΕ-ΓΣΕΒΕΕ</w:t>
      </w:r>
      <w:r>
        <w:rPr>
          <w:rFonts w:ascii="Tahoma" w:hAnsi="Tahoma" w:cs="Tahoma"/>
          <w:sz w:val="22"/>
          <w:szCs w:val="22"/>
        </w:rPr>
        <w:t>. Η τελευταία κρίση που κορυφώθηκε με την επιβολή κεφαλαιακών ελ</w:t>
      </w:r>
      <w:r w:rsidR="00D866F7">
        <w:rPr>
          <w:rFonts w:ascii="Tahoma" w:hAnsi="Tahoma" w:cs="Tahoma"/>
          <w:sz w:val="22"/>
          <w:szCs w:val="22"/>
        </w:rPr>
        <w:t>έγχων επιδε</w:t>
      </w:r>
      <w:r w:rsidR="00855FB6">
        <w:rPr>
          <w:rFonts w:ascii="Tahoma" w:hAnsi="Tahoma" w:cs="Tahoma"/>
          <w:sz w:val="22"/>
          <w:szCs w:val="22"/>
        </w:rPr>
        <w:t>ίνωσε σημαντικά τα πραγματικά μεγέθη των επιχειρήσεων</w:t>
      </w:r>
      <w:r w:rsidR="00D866F7">
        <w:rPr>
          <w:rFonts w:ascii="Tahoma" w:hAnsi="Tahoma" w:cs="Tahoma"/>
          <w:sz w:val="22"/>
          <w:szCs w:val="22"/>
        </w:rPr>
        <w:t>, ενώ</w:t>
      </w:r>
      <w:r w:rsidR="00855FB6">
        <w:rPr>
          <w:rFonts w:ascii="Tahoma" w:hAnsi="Tahoma" w:cs="Tahoma"/>
          <w:sz w:val="22"/>
          <w:szCs w:val="22"/>
        </w:rPr>
        <w:t xml:space="preserve"> το κλείσιμο της συμφωνίας δε συνεπάγεται αυτόματα αναστροφή του κλίματος</w:t>
      </w:r>
      <w:r w:rsidR="00855FB6" w:rsidRPr="007A6E12">
        <w:rPr>
          <w:rFonts w:ascii="Tahoma" w:hAnsi="Tahoma" w:cs="Tahoma"/>
          <w:sz w:val="22"/>
          <w:szCs w:val="22"/>
        </w:rPr>
        <w:t>.</w:t>
      </w:r>
      <w:r w:rsidR="00D866F7" w:rsidRPr="007A6E12">
        <w:rPr>
          <w:rFonts w:ascii="Tahoma" w:hAnsi="Tahoma" w:cs="Tahoma"/>
          <w:sz w:val="22"/>
          <w:szCs w:val="22"/>
        </w:rPr>
        <w:t xml:space="preserve"> </w:t>
      </w:r>
      <w:r w:rsidR="005B6C38">
        <w:rPr>
          <w:rFonts w:ascii="Tahoma" w:hAnsi="Tahoma" w:cs="Tahoma"/>
          <w:b/>
          <w:sz w:val="22"/>
          <w:szCs w:val="22"/>
        </w:rPr>
        <w:t>Οι ενδείξεις</w:t>
      </w:r>
      <w:r w:rsidR="005174A8" w:rsidRPr="007A6E12">
        <w:rPr>
          <w:rFonts w:ascii="Tahoma" w:hAnsi="Tahoma" w:cs="Tahoma"/>
          <w:b/>
          <w:sz w:val="22"/>
          <w:szCs w:val="22"/>
        </w:rPr>
        <w:t xml:space="preserve"> ανάσχεσης της </w:t>
      </w:r>
      <w:proofErr w:type="spellStart"/>
      <w:r w:rsidR="005174A8" w:rsidRPr="007A6E12">
        <w:rPr>
          <w:rFonts w:ascii="Tahoma" w:hAnsi="Tahoma" w:cs="Tahoma"/>
          <w:b/>
          <w:sz w:val="22"/>
          <w:szCs w:val="22"/>
        </w:rPr>
        <w:t>υφεσιακής</w:t>
      </w:r>
      <w:proofErr w:type="spellEnd"/>
      <w:r w:rsidR="005174A8" w:rsidRPr="007A6E12">
        <w:rPr>
          <w:rFonts w:ascii="Tahoma" w:hAnsi="Tahoma" w:cs="Tahoma"/>
          <w:b/>
          <w:sz w:val="22"/>
          <w:szCs w:val="22"/>
        </w:rPr>
        <w:t xml:space="preserve"> πορείας που παρουσιάστηκαν το β’ εξάμηνο του 2014 φαίνεται να αναστράφηκαν σημαντικά κατά τη διάρκεια του α’ εξαμήνου του 2015.</w:t>
      </w:r>
    </w:p>
    <w:p w:rsidR="00F6557D" w:rsidRPr="007A6E12" w:rsidRDefault="00F6557D" w:rsidP="00A46DB1">
      <w:pPr>
        <w:ind w:firstLine="720"/>
        <w:jc w:val="both"/>
        <w:rPr>
          <w:rFonts w:ascii="Tahoma" w:hAnsi="Tahoma" w:cs="Tahoma"/>
          <w:sz w:val="22"/>
          <w:szCs w:val="22"/>
        </w:rPr>
      </w:pPr>
      <w:r w:rsidRPr="007A6E12">
        <w:rPr>
          <w:rFonts w:ascii="Tahoma" w:hAnsi="Tahoma" w:cs="Tahoma"/>
          <w:sz w:val="22"/>
          <w:szCs w:val="22"/>
        </w:rPr>
        <w:t>Τονίζεται ότι η λύση που επιλέχθηκε στο τέλος αυτής της διαπραγμάτευση</w:t>
      </w:r>
      <w:r w:rsidR="004A4072" w:rsidRPr="007A6E12">
        <w:rPr>
          <w:rFonts w:ascii="Tahoma" w:hAnsi="Tahoma" w:cs="Tahoma"/>
          <w:sz w:val="22"/>
          <w:szCs w:val="22"/>
        </w:rPr>
        <w:t>ς</w:t>
      </w:r>
      <w:r w:rsidRPr="007A6E12">
        <w:rPr>
          <w:rFonts w:ascii="Tahoma" w:hAnsi="Tahoma" w:cs="Tahoma"/>
          <w:sz w:val="22"/>
          <w:szCs w:val="22"/>
        </w:rPr>
        <w:t xml:space="preserve">, αν και </w:t>
      </w:r>
      <w:r w:rsidR="00A46DB1" w:rsidRPr="007A6E12">
        <w:rPr>
          <w:rFonts w:ascii="Tahoma" w:hAnsi="Tahoma" w:cs="Tahoma"/>
          <w:sz w:val="22"/>
          <w:szCs w:val="22"/>
        </w:rPr>
        <w:t xml:space="preserve">αποσόβησε την άτακτη χρεοκοπία </w:t>
      </w:r>
      <w:r w:rsidRPr="007A6E12">
        <w:rPr>
          <w:rFonts w:ascii="Tahoma" w:hAnsi="Tahoma" w:cs="Tahoma"/>
          <w:sz w:val="22"/>
          <w:szCs w:val="22"/>
        </w:rPr>
        <w:t xml:space="preserve">, επιτείνει τα αδιέξοδα για τις μικρές επιχειρήσεις, οι οποίες εκτός από την υπερχρέωση και την κάθετη πτώση της εσωτερικής ζήτησης, έχουν να αντιμετωπίσουν ένα εξαιρετικά εχθρικό περιβάλλον ρυθμίσεων που πλήττει τον ανταγωνισμό </w:t>
      </w:r>
      <w:r w:rsidR="00B81B3E" w:rsidRPr="007A6E12">
        <w:rPr>
          <w:rFonts w:ascii="Tahoma" w:hAnsi="Tahoma" w:cs="Tahoma"/>
          <w:sz w:val="22"/>
          <w:szCs w:val="22"/>
        </w:rPr>
        <w:t xml:space="preserve">και οδηγεί σε </w:t>
      </w:r>
      <w:r w:rsidR="004373F1" w:rsidRPr="007A6E12">
        <w:rPr>
          <w:rFonts w:ascii="Tahoma" w:hAnsi="Tahoma" w:cs="Tahoma"/>
          <w:sz w:val="22"/>
          <w:szCs w:val="22"/>
        </w:rPr>
        <w:t xml:space="preserve">περαιτέρω </w:t>
      </w:r>
      <w:proofErr w:type="spellStart"/>
      <w:r w:rsidR="004373F1" w:rsidRPr="007A6E12">
        <w:rPr>
          <w:rFonts w:ascii="Tahoma" w:hAnsi="Tahoma" w:cs="Tahoma"/>
          <w:sz w:val="22"/>
          <w:szCs w:val="22"/>
        </w:rPr>
        <w:t>ολιγοπώληση</w:t>
      </w:r>
      <w:proofErr w:type="spellEnd"/>
      <w:r w:rsidR="004373F1" w:rsidRPr="007A6E12">
        <w:rPr>
          <w:rFonts w:ascii="Tahoma" w:hAnsi="Tahoma" w:cs="Tahoma"/>
          <w:sz w:val="22"/>
          <w:szCs w:val="22"/>
        </w:rPr>
        <w:t xml:space="preserve"> της αγοράς.</w:t>
      </w:r>
    </w:p>
    <w:p w:rsidR="00855FB6" w:rsidRPr="007A6E12" w:rsidRDefault="00B81B3E" w:rsidP="004B04BD">
      <w:pPr>
        <w:jc w:val="both"/>
        <w:rPr>
          <w:rFonts w:ascii="Tahoma" w:hAnsi="Tahoma" w:cs="Tahoma"/>
          <w:sz w:val="22"/>
          <w:szCs w:val="22"/>
        </w:rPr>
      </w:pPr>
      <w:r w:rsidRPr="007A6E12">
        <w:rPr>
          <w:rFonts w:ascii="Tahoma" w:hAnsi="Tahoma" w:cs="Tahoma"/>
          <w:sz w:val="22"/>
          <w:szCs w:val="22"/>
        </w:rPr>
        <w:tab/>
      </w:r>
      <w:r w:rsidR="00D866F7" w:rsidRPr="007A6E12">
        <w:rPr>
          <w:rFonts w:ascii="Tahoma" w:hAnsi="Tahoma" w:cs="Tahoma"/>
          <w:sz w:val="22"/>
          <w:szCs w:val="22"/>
        </w:rPr>
        <w:t>Η έλλειψη ρευστότητας, η ανυπαρξία ιδιωτικής αλλά και δημόσιας επενδυτικής πρωτοβουλίας, η καθήλωση της απασχόλησης αποτελούν ανησυχητικούς παράγοντες που αναστέλλουν αενάως την πορεία της χώρας προς την ανάκαμψη.</w:t>
      </w:r>
      <w:r w:rsidR="004A4072" w:rsidRPr="007A6E12">
        <w:rPr>
          <w:rFonts w:ascii="Tahoma" w:hAnsi="Tahoma" w:cs="Tahoma"/>
          <w:sz w:val="22"/>
          <w:szCs w:val="22"/>
        </w:rPr>
        <w:t xml:space="preserve"> </w:t>
      </w:r>
      <w:r w:rsidR="00D866F7" w:rsidRPr="007A6E12">
        <w:rPr>
          <w:rFonts w:ascii="Tahoma" w:hAnsi="Tahoma" w:cs="Tahoma"/>
          <w:sz w:val="22"/>
          <w:szCs w:val="22"/>
        </w:rPr>
        <w:t>Είναι σαφές ότι στην ελληνική οικονομία τείνει να διαμορφωθεί και να ενισχυθεί ένας επικίνδυνος δυϊσμός ανάπτυξης- υπ</w:t>
      </w:r>
      <w:r w:rsidR="00855FB6" w:rsidRPr="007A6E12">
        <w:rPr>
          <w:rFonts w:ascii="Tahoma" w:hAnsi="Tahoma" w:cs="Tahoma"/>
          <w:sz w:val="22"/>
          <w:szCs w:val="22"/>
        </w:rPr>
        <w:t>α</w:t>
      </w:r>
      <w:r w:rsidR="00D866F7" w:rsidRPr="007A6E12">
        <w:rPr>
          <w:rFonts w:ascii="Tahoma" w:hAnsi="Tahoma" w:cs="Tahoma"/>
          <w:sz w:val="22"/>
          <w:szCs w:val="22"/>
        </w:rPr>
        <w:t>νάπτυξης, όπου συγκεκριμένοι κλάδοι και επιχειρήσεις θα αναγκαστούν να μεταπηδήσουν στον άτυπο τομέα της οικονομίας για να μπορέσουν να επιβιώσουν μέσα στο δυσμενές φορολογικό και ανταγωνιστικό περιβάλλον που διαμορφώνεται.</w:t>
      </w:r>
      <w:r w:rsidRPr="007A6E12">
        <w:rPr>
          <w:rFonts w:ascii="Tahoma" w:hAnsi="Tahoma" w:cs="Tahoma"/>
          <w:sz w:val="22"/>
          <w:szCs w:val="22"/>
        </w:rPr>
        <w:t xml:space="preserve"> </w:t>
      </w:r>
      <w:r w:rsidR="00855FB6" w:rsidRPr="007A6E12">
        <w:rPr>
          <w:rFonts w:ascii="Tahoma" w:hAnsi="Tahoma" w:cs="Tahoma"/>
          <w:sz w:val="22"/>
          <w:szCs w:val="22"/>
        </w:rPr>
        <w:t xml:space="preserve">Το ΙΜΕ-ΓΣΕΒΕΕ εκτιμά ότι εξ αιτίας της εφαρμογής </w:t>
      </w:r>
      <w:r w:rsidR="00642C72" w:rsidRPr="007A6E12">
        <w:rPr>
          <w:rFonts w:ascii="Tahoma" w:hAnsi="Tahoma" w:cs="Tahoma"/>
          <w:sz w:val="22"/>
          <w:szCs w:val="22"/>
        </w:rPr>
        <w:t>του</w:t>
      </w:r>
      <w:r w:rsidR="00855FB6" w:rsidRPr="007A6E12">
        <w:rPr>
          <w:rFonts w:ascii="Tahoma" w:hAnsi="Tahoma" w:cs="Tahoma"/>
          <w:sz w:val="22"/>
          <w:szCs w:val="22"/>
        </w:rPr>
        <w:t xml:space="preserve"> νέου </w:t>
      </w:r>
      <w:proofErr w:type="spellStart"/>
      <w:r w:rsidR="00855FB6" w:rsidRPr="007A6E12">
        <w:rPr>
          <w:rFonts w:ascii="Tahoma" w:hAnsi="Tahoma" w:cs="Tahoma"/>
          <w:sz w:val="22"/>
          <w:szCs w:val="22"/>
        </w:rPr>
        <w:t>εμπροσθοβαρούς</w:t>
      </w:r>
      <w:proofErr w:type="spellEnd"/>
      <w:r w:rsidR="00855FB6" w:rsidRPr="007A6E12">
        <w:rPr>
          <w:rFonts w:ascii="Tahoma" w:hAnsi="Tahoma" w:cs="Tahoma"/>
          <w:sz w:val="22"/>
          <w:szCs w:val="22"/>
        </w:rPr>
        <w:t xml:space="preserve"> προγράμματος λιτότητας στο επόμενο εξάμηνο θα σημειωθεί </w:t>
      </w:r>
      <w:r w:rsidR="00642C72" w:rsidRPr="007A6E12">
        <w:rPr>
          <w:rFonts w:ascii="Tahoma" w:hAnsi="Tahoma" w:cs="Tahoma"/>
          <w:sz w:val="22"/>
          <w:szCs w:val="22"/>
        </w:rPr>
        <w:t xml:space="preserve">εκ νέου </w:t>
      </w:r>
      <w:r w:rsidR="00855FB6" w:rsidRPr="007A6E12">
        <w:rPr>
          <w:rFonts w:ascii="Tahoma" w:hAnsi="Tahoma" w:cs="Tahoma"/>
          <w:sz w:val="22"/>
          <w:szCs w:val="22"/>
        </w:rPr>
        <w:t>σημαντική υποχώρηση της επιχειρηματικής δραστηριότητας. Τα δημοσιονομικά μέτρα και η ύφεση θα δυσχεράνουν τις πολύ μικρές επιχειρήσεις και τους αυτοαπασχολούμενους</w:t>
      </w:r>
      <w:r w:rsidR="00642C72" w:rsidRPr="007A6E12">
        <w:rPr>
          <w:rFonts w:ascii="Tahoma" w:hAnsi="Tahoma" w:cs="Tahoma"/>
          <w:sz w:val="22"/>
          <w:szCs w:val="22"/>
        </w:rPr>
        <w:t>.</w:t>
      </w:r>
    </w:p>
    <w:p w:rsidR="00D866F7" w:rsidRPr="007A6E12" w:rsidRDefault="00D866F7" w:rsidP="004B04BD">
      <w:pPr>
        <w:jc w:val="both"/>
        <w:rPr>
          <w:rFonts w:ascii="Tahoma" w:hAnsi="Tahoma" w:cs="Tahoma"/>
          <w:sz w:val="22"/>
          <w:szCs w:val="22"/>
        </w:rPr>
      </w:pPr>
    </w:p>
    <w:p w:rsidR="004B04BD" w:rsidRPr="00972FF9" w:rsidRDefault="006F62B3" w:rsidP="00B81B3E">
      <w:pPr>
        <w:jc w:val="both"/>
        <w:rPr>
          <w:rFonts w:ascii="Tahoma" w:hAnsi="Tahoma" w:cs="Tahoma"/>
          <w:sz w:val="22"/>
          <w:szCs w:val="22"/>
        </w:rPr>
      </w:pPr>
      <w:r w:rsidRPr="007A6E12">
        <w:rPr>
          <w:rFonts w:ascii="Tahoma" w:hAnsi="Tahoma" w:cs="Tahoma"/>
          <w:sz w:val="22"/>
          <w:szCs w:val="22"/>
        </w:rPr>
        <w:t xml:space="preserve">Η κυβέρνηση </w:t>
      </w:r>
      <w:r w:rsidR="00B81B3E" w:rsidRPr="007A6E12">
        <w:rPr>
          <w:rFonts w:ascii="Tahoma" w:hAnsi="Tahoma" w:cs="Tahoma"/>
          <w:sz w:val="22"/>
          <w:szCs w:val="22"/>
        </w:rPr>
        <w:t>που θα προκύψει</w:t>
      </w:r>
      <w:r w:rsidR="00972FF9" w:rsidRPr="007A6E12">
        <w:rPr>
          <w:rFonts w:ascii="Tahoma" w:hAnsi="Tahoma" w:cs="Tahoma"/>
          <w:sz w:val="22"/>
          <w:szCs w:val="22"/>
        </w:rPr>
        <w:t xml:space="preserve"> </w:t>
      </w:r>
      <w:r w:rsidR="00A46DB1" w:rsidRPr="007A6E12">
        <w:rPr>
          <w:rFonts w:ascii="Tahoma" w:hAnsi="Tahoma" w:cs="Tahoma"/>
          <w:sz w:val="22"/>
          <w:szCs w:val="22"/>
        </w:rPr>
        <w:t xml:space="preserve">από </w:t>
      </w:r>
      <w:r w:rsidR="00972FF9" w:rsidRPr="007A6E12">
        <w:rPr>
          <w:rFonts w:ascii="Tahoma" w:hAnsi="Tahoma" w:cs="Tahoma"/>
          <w:sz w:val="22"/>
          <w:szCs w:val="22"/>
        </w:rPr>
        <w:t>τις επικείμενες εκλογές</w:t>
      </w:r>
      <w:r w:rsidR="00B81B3E" w:rsidRPr="007A6E12">
        <w:rPr>
          <w:rFonts w:ascii="Tahoma" w:hAnsi="Tahoma" w:cs="Tahoma"/>
          <w:sz w:val="22"/>
          <w:szCs w:val="22"/>
        </w:rPr>
        <w:t xml:space="preserve"> </w:t>
      </w:r>
      <w:r w:rsidRPr="007A6E12">
        <w:rPr>
          <w:rFonts w:ascii="Tahoma" w:hAnsi="Tahoma" w:cs="Tahoma"/>
          <w:sz w:val="22"/>
          <w:szCs w:val="22"/>
        </w:rPr>
        <w:t>καλείται</w:t>
      </w:r>
      <w:r w:rsidR="00A46DB1" w:rsidRPr="007A6E12">
        <w:rPr>
          <w:rFonts w:ascii="Tahoma" w:hAnsi="Tahoma" w:cs="Tahoma"/>
          <w:sz w:val="22"/>
          <w:szCs w:val="22"/>
        </w:rPr>
        <w:t>,</w:t>
      </w:r>
      <w:r w:rsidRPr="007A6E12">
        <w:rPr>
          <w:rFonts w:ascii="Tahoma" w:hAnsi="Tahoma" w:cs="Tahoma"/>
          <w:sz w:val="22"/>
          <w:szCs w:val="22"/>
        </w:rPr>
        <w:t xml:space="preserve"> </w:t>
      </w:r>
      <w:r w:rsidR="00B81B3E" w:rsidRPr="007A6E12">
        <w:rPr>
          <w:rFonts w:ascii="Tahoma" w:hAnsi="Tahoma" w:cs="Tahoma"/>
          <w:sz w:val="22"/>
          <w:szCs w:val="22"/>
        </w:rPr>
        <w:t xml:space="preserve">μαζί με την εξασφάλιση πολιτικής σταθερότητας, να </w:t>
      </w:r>
      <w:r w:rsidR="00A46DB1" w:rsidRPr="007A6E12">
        <w:rPr>
          <w:rFonts w:ascii="Tahoma" w:hAnsi="Tahoma" w:cs="Tahoma"/>
          <w:sz w:val="22"/>
          <w:szCs w:val="22"/>
        </w:rPr>
        <w:t>αναζητήσει</w:t>
      </w:r>
      <w:r w:rsidR="00B81B3E" w:rsidRPr="007A6E12">
        <w:rPr>
          <w:rFonts w:ascii="Tahoma" w:hAnsi="Tahoma" w:cs="Tahoma"/>
          <w:sz w:val="22"/>
          <w:szCs w:val="22"/>
        </w:rPr>
        <w:t xml:space="preserve"> «λύσεις» για την επίτευξη οικονομικής ανάκαμψης και </w:t>
      </w:r>
      <w:r w:rsidR="00972FF9" w:rsidRPr="007A6E12">
        <w:rPr>
          <w:rFonts w:ascii="Tahoma" w:hAnsi="Tahoma" w:cs="Tahoma"/>
          <w:sz w:val="22"/>
          <w:szCs w:val="22"/>
        </w:rPr>
        <w:t>αποκατάστασης</w:t>
      </w:r>
      <w:r w:rsidR="00B81B3E" w:rsidRPr="007A6E12">
        <w:rPr>
          <w:rFonts w:ascii="Tahoma" w:hAnsi="Tahoma" w:cs="Tahoma"/>
          <w:sz w:val="22"/>
          <w:szCs w:val="22"/>
        </w:rPr>
        <w:t xml:space="preserve"> του κλίματος</w:t>
      </w:r>
      <w:r w:rsidR="00972FF9" w:rsidRPr="007A6E12">
        <w:rPr>
          <w:rFonts w:ascii="Tahoma" w:hAnsi="Tahoma" w:cs="Tahoma"/>
          <w:sz w:val="22"/>
          <w:szCs w:val="22"/>
        </w:rPr>
        <w:t xml:space="preserve"> εμπιστοσύνης</w:t>
      </w:r>
      <w:r w:rsidR="00B81B3E" w:rsidRPr="007A6E12">
        <w:rPr>
          <w:rFonts w:ascii="Tahoma" w:hAnsi="Tahoma" w:cs="Tahoma"/>
          <w:sz w:val="22"/>
          <w:szCs w:val="22"/>
        </w:rPr>
        <w:t xml:space="preserve"> </w:t>
      </w:r>
      <w:r w:rsidRPr="007A6E12">
        <w:rPr>
          <w:rFonts w:ascii="Tahoma" w:hAnsi="Tahoma" w:cs="Tahoma"/>
          <w:sz w:val="22"/>
          <w:szCs w:val="22"/>
        </w:rPr>
        <w:t xml:space="preserve">μέσα </w:t>
      </w:r>
      <w:r w:rsidR="00B81B3E" w:rsidRPr="007A6E12">
        <w:rPr>
          <w:rFonts w:ascii="Tahoma" w:hAnsi="Tahoma" w:cs="Tahoma"/>
          <w:sz w:val="22"/>
          <w:szCs w:val="22"/>
        </w:rPr>
        <w:t xml:space="preserve">σε ένα </w:t>
      </w:r>
      <w:r w:rsidRPr="007A6E12">
        <w:rPr>
          <w:rFonts w:ascii="Tahoma" w:hAnsi="Tahoma" w:cs="Tahoma"/>
          <w:sz w:val="22"/>
          <w:szCs w:val="22"/>
        </w:rPr>
        <w:t>περιβάλλον</w:t>
      </w:r>
      <w:r w:rsidR="00B81B3E" w:rsidRPr="007A6E12">
        <w:rPr>
          <w:rFonts w:ascii="Tahoma" w:hAnsi="Tahoma" w:cs="Tahoma"/>
          <w:sz w:val="22"/>
          <w:szCs w:val="22"/>
        </w:rPr>
        <w:t xml:space="preserve"> που κρύβει σημαντικούς </w:t>
      </w:r>
      <w:r w:rsidR="0075461E" w:rsidRPr="007A6E12">
        <w:rPr>
          <w:rFonts w:ascii="Tahoma" w:hAnsi="Tahoma" w:cs="Tahoma"/>
          <w:sz w:val="22"/>
          <w:szCs w:val="22"/>
        </w:rPr>
        <w:t>κινδύνους σε δημοσιονομικό, γεω</w:t>
      </w:r>
      <w:r w:rsidR="00B81B3E" w:rsidRPr="007A6E12">
        <w:rPr>
          <w:rFonts w:ascii="Tahoma" w:hAnsi="Tahoma" w:cs="Tahoma"/>
          <w:sz w:val="22"/>
          <w:szCs w:val="22"/>
        </w:rPr>
        <w:t>οικονομικό και ανταγωνιστικό</w:t>
      </w:r>
      <w:r w:rsidR="00B81B3E" w:rsidRPr="00972FF9">
        <w:rPr>
          <w:rFonts w:ascii="Tahoma" w:hAnsi="Tahoma" w:cs="Tahoma"/>
          <w:sz w:val="22"/>
          <w:szCs w:val="22"/>
        </w:rPr>
        <w:t xml:space="preserve"> επίπεδο.</w:t>
      </w:r>
      <w:r w:rsidRPr="00972FF9">
        <w:rPr>
          <w:rFonts w:ascii="Tahoma" w:hAnsi="Tahoma" w:cs="Tahoma"/>
          <w:sz w:val="22"/>
          <w:szCs w:val="22"/>
        </w:rPr>
        <w:t xml:space="preserve"> </w:t>
      </w:r>
      <w:r w:rsidR="00642C72">
        <w:rPr>
          <w:rFonts w:ascii="Tahoma" w:hAnsi="Tahoma" w:cs="Tahoma"/>
          <w:sz w:val="22"/>
          <w:szCs w:val="22"/>
        </w:rPr>
        <w:t>Είναι επιτακτική η διαμόρφωση μιας επενδυτικής πολιτικής με ταυτόχρονη αξιοποίηση εθνικών πόρων, ιδιωτικών και δημόσιων, καθώς και ταχεία απορρόφηση των κοινοτικών κονδυλίων σε κλάδους εθνικού ενδιαφέροντος με πολλαπλασιαστικό όφελος.</w:t>
      </w:r>
      <w:r w:rsidR="00261B6C">
        <w:rPr>
          <w:rFonts w:ascii="Tahoma" w:hAnsi="Tahoma" w:cs="Tahoma"/>
          <w:sz w:val="22"/>
          <w:szCs w:val="22"/>
        </w:rPr>
        <w:t xml:space="preserve"> </w:t>
      </w:r>
      <w:r w:rsidR="00261B6C" w:rsidRPr="00FA3D17">
        <w:rPr>
          <w:rFonts w:ascii="Tahoma" w:hAnsi="Tahoma" w:cs="Tahoma"/>
          <w:sz w:val="22"/>
          <w:szCs w:val="22"/>
        </w:rPr>
        <w:t>Η παραγωγική ανασυγκρότηση και οι μεταρρυθμίσεις στην παραγωγική βάση πρέπει να προηγηθούν των</w:t>
      </w:r>
      <w:r w:rsidR="004373F1" w:rsidRPr="00FA3D17">
        <w:rPr>
          <w:rFonts w:ascii="Tahoma" w:hAnsi="Tahoma" w:cs="Tahoma"/>
          <w:sz w:val="22"/>
          <w:szCs w:val="22"/>
        </w:rPr>
        <w:t xml:space="preserve"> υπόλοιπων</w:t>
      </w:r>
      <w:r w:rsidR="00261B6C" w:rsidRPr="00FA3D17">
        <w:rPr>
          <w:rFonts w:ascii="Tahoma" w:hAnsi="Tahoma" w:cs="Tahoma"/>
          <w:sz w:val="22"/>
          <w:szCs w:val="22"/>
        </w:rPr>
        <w:t xml:space="preserve"> μεταρρυθμίσεων</w:t>
      </w:r>
      <w:r w:rsidR="000478B8" w:rsidRPr="00FA3D17">
        <w:rPr>
          <w:rFonts w:ascii="Tahoma" w:hAnsi="Tahoma" w:cs="Tahoma"/>
          <w:sz w:val="22"/>
          <w:szCs w:val="22"/>
        </w:rPr>
        <w:t>.</w:t>
      </w:r>
      <w:r w:rsidR="000478B8">
        <w:rPr>
          <w:rFonts w:ascii="Tahoma" w:hAnsi="Tahoma" w:cs="Tahoma"/>
          <w:sz w:val="22"/>
          <w:szCs w:val="22"/>
        </w:rPr>
        <w:t xml:space="preserve"> Η πολυπόθητη εξωστρέφεια πρέπει να συνδυαστεί με πρωτοβουλίες δημιουργίας μιας </w:t>
      </w:r>
      <w:proofErr w:type="spellStart"/>
      <w:r w:rsidR="000478B8">
        <w:rPr>
          <w:rFonts w:ascii="Tahoma" w:hAnsi="Tahoma" w:cs="Tahoma"/>
          <w:sz w:val="22"/>
          <w:szCs w:val="22"/>
        </w:rPr>
        <w:t>στέρεης</w:t>
      </w:r>
      <w:proofErr w:type="spellEnd"/>
      <w:r w:rsidR="000478B8">
        <w:rPr>
          <w:rFonts w:ascii="Tahoma" w:hAnsi="Tahoma" w:cs="Tahoma"/>
          <w:sz w:val="22"/>
          <w:szCs w:val="22"/>
        </w:rPr>
        <w:t xml:space="preserve"> εσωτερικής παραγωγικής βάσης και αγοράς.</w:t>
      </w:r>
    </w:p>
    <w:p w:rsidR="00D645E8" w:rsidRPr="00972FF9" w:rsidRDefault="00D645E8" w:rsidP="00596985">
      <w:pPr>
        <w:jc w:val="both"/>
        <w:rPr>
          <w:rFonts w:ascii="Tahoma" w:hAnsi="Tahoma" w:cs="Tahoma"/>
          <w:strike/>
          <w:sz w:val="22"/>
          <w:szCs w:val="22"/>
        </w:rPr>
      </w:pPr>
    </w:p>
    <w:p w:rsidR="004373F1" w:rsidRPr="00CD4D87" w:rsidRDefault="009B6326" w:rsidP="00D645E8">
      <w:pPr>
        <w:jc w:val="both"/>
        <w:rPr>
          <w:rFonts w:ascii="Tahoma" w:hAnsi="Tahoma" w:cs="Tahoma"/>
          <w:sz w:val="22"/>
          <w:szCs w:val="22"/>
        </w:rPr>
      </w:pPr>
      <w:r w:rsidRPr="00972FF9">
        <w:rPr>
          <w:rFonts w:ascii="Tahoma" w:hAnsi="Tahoma" w:cs="Tahoma"/>
          <w:sz w:val="22"/>
          <w:szCs w:val="22"/>
        </w:rPr>
        <w:lastRenderedPageBreak/>
        <w:t>Τα κυριότερα συμπεράσματα της έρευνας του ΙΜΕ ΓΣΕΒΕΕ</w:t>
      </w:r>
      <w:r w:rsidR="00F25918" w:rsidRPr="00972FF9">
        <w:rPr>
          <w:rFonts w:ascii="Tahoma" w:hAnsi="Tahoma" w:cs="Tahoma"/>
          <w:sz w:val="22"/>
          <w:szCs w:val="22"/>
        </w:rPr>
        <w:t xml:space="preserve"> που έγινε</w:t>
      </w:r>
      <w:r w:rsidRPr="00972FF9">
        <w:rPr>
          <w:rFonts w:ascii="Tahoma" w:hAnsi="Tahoma" w:cs="Tahoma"/>
          <w:sz w:val="22"/>
          <w:szCs w:val="22"/>
        </w:rPr>
        <w:t xml:space="preserve"> σε συνεργασία με την εταιρεία ΜA</w:t>
      </w:r>
      <w:r w:rsidR="003535A6" w:rsidRPr="00972FF9">
        <w:rPr>
          <w:rFonts w:ascii="Tahoma" w:hAnsi="Tahoma" w:cs="Tahoma"/>
          <w:sz w:val="22"/>
          <w:szCs w:val="22"/>
        </w:rPr>
        <w:t>RC ΑΕ σε πανελλαδικό δείγμα 1</w:t>
      </w:r>
      <w:r w:rsidR="00972FF9" w:rsidRPr="00972FF9">
        <w:rPr>
          <w:rFonts w:ascii="Tahoma" w:hAnsi="Tahoma" w:cs="Tahoma"/>
          <w:sz w:val="22"/>
          <w:szCs w:val="22"/>
        </w:rPr>
        <w:t>005</w:t>
      </w:r>
      <w:r w:rsidRPr="00972FF9">
        <w:rPr>
          <w:rFonts w:ascii="Tahoma" w:hAnsi="Tahoma" w:cs="Tahoma"/>
          <w:sz w:val="22"/>
          <w:szCs w:val="22"/>
        </w:rPr>
        <w:t xml:space="preserve"> πολύ μικρών και μικρών επιχειρήσεων (0-49 ά</w:t>
      </w:r>
      <w:r w:rsidR="00CE38CF" w:rsidRPr="00972FF9">
        <w:rPr>
          <w:rFonts w:ascii="Tahoma" w:hAnsi="Tahoma" w:cs="Tahoma"/>
          <w:sz w:val="22"/>
          <w:szCs w:val="22"/>
        </w:rPr>
        <w:t xml:space="preserve">τομα προσωπικό), στο διάστημα </w:t>
      </w:r>
      <w:r w:rsidR="00972FF9" w:rsidRPr="00972FF9">
        <w:rPr>
          <w:rFonts w:ascii="Tahoma" w:hAnsi="Tahoma" w:cs="Tahoma"/>
          <w:sz w:val="22"/>
          <w:szCs w:val="22"/>
        </w:rPr>
        <w:t>21</w:t>
      </w:r>
      <w:r w:rsidR="00B44B16" w:rsidRPr="00972FF9">
        <w:rPr>
          <w:rFonts w:ascii="Tahoma" w:hAnsi="Tahoma" w:cs="Tahoma"/>
          <w:sz w:val="22"/>
          <w:szCs w:val="22"/>
        </w:rPr>
        <w:t xml:space="preserve"> έως </w:t>
      </w:r>
      <w:r w:rsidR="00972FF9" w:rsidRPr="00972FF9">
        <w:rPr>
          <w:rFonts w:ascii="Tahoma" w:hAnsi="Tahoma" w:cs="Tahoma"/>
          <w:sz w:val="22"/>
          <w:szCs w:val="22"/>
        </w:rPr>
        <w:t>27</w:t>
      </w:r>
      <w:r w:rsidR="00B44B16" w:rsidRPr="00972FF9">
        <w:rPr>
          <w:rFonts w:ascii="Tahoma" w:hAnsi="Tahoma" w:cs="Tahoma"/>
          <w:sz w:val="22"/>
          <w:szCs w:val="22"/>
        </w:rPr>
        <w:t xml:space="preserve"> </w:t>
      </w:r>
      <w:r w:rsidR="00972FF9" w:rsidRPr="00972FF9">
        <w:rPr>
          <w:rFonts w:ascii="Tahoma" w:hAnsi="Tahoma" w:cs="Tahoma"/>
          <w:sz w:val="22"/>
          <w:szCs w:val="22"/>
        </w:rPr>
        <w:t>Ιουλίου</w:t>
      </w:r>
      <w:r w:rsidR="00B44B16" w:rsidRPr="00972FF9">
        <w:rPr>
          <w:rFonts w:ascii="Tahoma" w:hAnsi="Tahoma" w:cs="Tahoma"/>
          <w:sz w:val="22"/>
          <w:szCs w:val="22"/>
        </w:rPr>
        <w:t xml:space="preserve"> 2015</w:t>
      </w:r>
      <w:r w:rsidRPr="00972FF9">
        <w:rPr>
          <w:rFonts w:ascii="Tahoma" w:hAnsi="Tahoma" w:cs="Tahoma"/>
          <w:sz w:val="22"/>
          <w:szCs w:val="22"/>
        </w:rPr>
        <w:t xml:space="preserve"> έχουν ως εξής:</w:t>
      </w:r>
    </w:p>
    <w:p w:rsidR="00B640C8" w:rsidRPr="00CA444C" w:rsidRDefault="00B640C8"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r w:rsidRPr="00CA444C">
        <w:rPr>
          <w:rFonts w:ascii="Tahoma" w:hAnsi="Tahoma" w:cs="Tahoma"/>
          <w:b/>
          <w:sz w:val="22"/>
          <w:szCs w:val="22"/>
          <w:lang w:val="en-US"/>
        </w:rPr>
        <w:t>A</w:t>
      </w:r>
      <w:r w:rsidRPr="00CA444C">
        <w:rPr>
          <w:rFonts w:ascii="Tahoma" w:hAnsi="Tahoma" w:cs="Tahoma"/>
          <w:b/>
          <w:sz w:val="22"/>
          <w:szCs w:val="22"/>
        </w:rPr>
        <w:t xml:space="preserve">. ΓΕΝΙΚΗ </w:t>
      </w:r>
      <w:r w:rsidR="00C86AC9" w:rsidRPr="00CA444C">
        <w:rPr>
          <w:rFonts w:ascii="Tahoma" w:hAnsi="Tahoma" w:cs="Tahoma"/>
          <w:b/>
          <w:sz w:val="22"/>
          <w:szCs w:val="22"/>
        </w:rPr>
        <w:t xml:space="preserve">ΟΙΚΟΝΟΜΙΚΗ </w:t>
      </w:r>
      <w:r w:rsidRPr="00CA444C">
        <w:rPr>
          <w:rFonts w:ascii="Tahoma" w:hAnsi="Tahoma" w:cs="Tahoma"/>
          <w:b/>
          <w:sz w:val="22"/>
          <w:szCs w:val="22"/>
        </w:rPr>
        <w:t>ΚΑΤΑΣΤΑΣΗ</w:t>
      </w:r>
      <w:r w:rsidR="00C86AC9" w:rsidRPr="00CA444C">
        <w:rPr>
          <w:rFonts w:ascii="Tahoma" w:hAnsi="Tahoma" w:cs="Tahoma"/>
          <w:b/>
          <w:sz w:val="22"/>
          <w:szCs w:val="22"/>
        </w:rPr>
        <w:t xml:space="preserve"> ΤΩΝ ΕΠΙΧΕΙΡΗΣΕΩΝ</w:t>
      </w:r>
    </w:p>
    <w:p w:rsidR="00B640C8" w:rsidRPr="00C82690" w:rsidRDefault="00B640C8"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sz w:val="22"/>
          <w:szCs w:val="22"/>
        </w:rPr>
      </w:pPr>
    </w:p>
    <w:p w:rsidR="00C82690" w:rsidRPr="00C82690" w:rsidRDefault="00C82690" w:rsidP="0064755D">
      <w:pPr>
        <w:pStyle w:val="aa"/>
        <w:numPr>
          <w:ilvl w:val="0"/>
          <w:numId w:val="8"/>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C82690">
        <w:rPr>
          <w:rFonts w:ascii="Tahoma" w:hAnsi="Tahoma" w:cs="Tahoma"/>
          <w:sz w:val="22"/>
          <w:szCs w:val="22"/>
        </w:rPr>
        <w:t xml:space="preserve">Η αποτίμηση του α’ εξαμήνου 2015 </w:t>
      </w:r>
      <w:r w:rsidRPr="00CF38C7">
        <w:rPr>
          <w:rFonts w:ascii="Tahoma" w:hAnsi="Tahoma" w:cs="Tahoma"/>
          <w:b/>
          <w:sz w:val="22"/>
          <w:szCs w:val="22"/>
        </w:rPr>
        <w:t>καταδεικνύει τη διάψευση των θετικών προσδοκιών που είχαν καλλιεργηθεί στο προηγούμενο εξάμηνο</w:t>
      </w:r>
      <w:r w:rsidRPr="00C82690">
        <w:rPr>
          <w:rFonts w:ascii="Tahoma" w:hAnsi="Tahoma" w:cs="Tahoma"/>
          <w:sz w:val="22"/>
          <w:szCs w:val="22"/>
        </w:rPr>
        <w:t>, καθώς το 84,3% των ερωτώμενων δηλώνει επιδείνωση της γενικής οικονομικής κατάστασης της επιχείρησης (μόνο το 4,8% παρουσιάζει βελτίωση), γεγονός που μας οδηγεί χρονικά στα μεγέθη που αποτυπώθηκαν το 2012.</w:t>
      </w:r>
      <w:r w:rsidR="00CF38C7">
        <w:rPr>
          <w:rFonts w:ascii="Tahoma" w:hAnsi="Tahoma" w:cs="Tahoma"/>
          <w:sz w:val="22"/>
          <w:szCs w:val="22"/>
        </w:rPr>
        <w:t xml:space="preserve"> </w:t>
      </w:r>
      <w:r w:rsidRPr="00C82690">
        <w:rPr>
          <w:rFonts w:ascii="Tahoma" w:hAnsi="Tahoma" w:cs="Tahoma"/>
          <w:sz w:val="22"/>
          <w:szCs w:val="22"/>
        </w:rPr>
        <w:t xml:space="preserve"> </w:t>
      </w:r>
    </w:p>
    <w:p w:rsidR="00CF38C7" w:rsidRDefault="00CF38C7" w:rsidP="0064755D">
      <w:pPr>
        <w:pStyle w:val="aa"/>
        <w:numPr>
          <w:ilvl w:val="0"/>
          <w:numId w:val="8"/>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CF38C7">
        <w:rPr>
          <w:rFonts w:ascii="Tahoma" w:hAnsi="Tahoma" w:cs="Tahoma"/>
          <w:sz w:val="22"/>
          <w:szCs w:val="22"/>
        </w:rPr>
        <w:t xml:space="preserve">Ο μέσος όρος μείωσης του κύκλου εργασιών κυμάνθηκε στο 21,23%, γεγονός που οφείλεται κατά κύριο λόγο στα γεγονότα του τελευταίου τριμήνου και τη σημαντική ύφεση την επιχειρηματική δραστηριότητα που ακολούθησε. Σωρευτικά στις μικρές και πολύ μικρές επιχειρήσεις η συνολική μείωση από την έναρξη της κρίσης και μετά το 2010 αγγίζει </w:t>
      </w:r>
      <w:proofErr w:type="spellStart"/>
      <w:r w:rsidRPr="00CF38C7">
        <w:rPr>
          <w:rFonts w:ascii="Tahoma" w:hAnsi="Tahoma" w:cs="Tahoma"/>
          <w:sz w:val="22"/>
          <w:szCs w:val="22"/>
        </w:rPr>
        <w:t>μεσοσταθμικά</w:t>
      </w:r>
      <w:proofErr w:type="spellEnd"/>
      <w:r w:rsidRPr="00CF38C7">
        <w:rPr>
          <w:rFonts w:ascii="Tahoma" w:hAnsi="Tahoma" w:cs="Tahoma"/>
          <w:sz w:val="22"/>
          <w:szCs w:val="22"/>
        </w:rPr>
        <w:t xml:space="preserve"> το 78%</w:t>
      </w:r>
      <w:r>
        <w:rPr>
          <w:rFonts w:ascii="Tahoma" w:hAnsi="Tahoma" w:cs="Tahoma"/>
          <w:sz w:val="22"/>
          <w:szCs w:val="22"/>
        </w:rPr>
        <w:t>.</w:t>
      </w:r>
    </w:p>
    <w:p w:rsidR="00CF38C7" w:rsidRDefault="00CF38C7" w:rsidP="0064755D">
      <w:pPr>
        <w:pStyle w:val="aa"/>
        <w:numPr>
          <w:ilvl w:val="0"/>
          <w:numId w:val="8"/>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CF38C7">
        <w:rPr>
          <w:rFonts w:ascii="Tahoma" w:hAnsi="Tahoma" w:cs="Tahoma"/>
          <w:sz w:val="22"/>
          <w:szCs w:val="22"/>
        </w:rPr>
        <w:t>Στα υπόλοιπα μεγέθη</w:t>
      </w:r>
      <w:r w:rsidR="00520B31" w:rsidRPr="00CF38C7">
        <w:rPr>
          <w:rFonts w:ascii="Tahoma" w:hAnsi="Tahoma" w:cs="Tahoma"/>
          <w:sz w:val="22"/>
          <w:szCs w:val="22"/>
        </w:rPr>
        <w:t xml:space="preserve">, </w:t>
      </w:r>
      <w:r w:rsidRPr="00CF38C7">
        <w:rPr>
          <w:rFonts w:ascii="Tahoma" w:hAnsi="Tahoma" w:cs="Tahoma"/>
          <w:sz w:val="22"/>
          <w:szCs w:val="22"/>
        </w:rPr>
        <w:t>3 στις 4 επιχειρήσεις</w:t>
      </w:r>
      <w:r w:rsidR="00520B31" w:rsidRPr="00CF38C7">
        <w:rPr>
          <w:rFonts w:ascii="Tahoma" w:hAnsi="Tahoma" w:cs="Tahoma"/>
          <w:sz w:val="22"/>
          <w:szCs w:val="22"/>
        </w:rPr>
        <w:t xml:space="preserve"> διαπιστώνουν κα</w:t>
      </w:r>
      <w:r w:rsidRPr="00CF38C7">
        <w:rPr>
          <w:rFonts w:ascii="Tahoma" w:hAnsi="Tahoma" w:cs="Tahoma"/>
          <w:sz w:val="22"/>
          <w:szCs w:val="22"/>
        </w:rPr>
        <w:t xml:space="preserve">ι σε αυτό το εξάμηνο μείωση </w:t>
      </w:r>
      <w:r w:rsidR="00520B31" w:rsidRPr="00CF38C7">
        <w:rPr>
          <w:rFonts w:ascii="Tahoma" w:hAnsi="Tahoma" w:cs="Tahoma"/>
          <w:sz w:val="22"/>
          <w:szCs w:val="22"/>
        </w:rPr>
        <w:t>της ζήτησης</w:t>
      </w:r>
      <w:r w:rsidRPr="00CF38C7">
        <w:rPr>
          <w:rFonts w:ascii="Tahoma" w:hAnsi="Tahoma" w:cs="Tahoma"/>
          <w:sz w:val="22"/>
          <w:szCs w:val="22"/>
        </w:rPr>
        <w:t xml:space="preserve"> (75,4%), των παραγγελιών (77,1</w:t>
      </w:r>
      <w:r w:rsidR="00520B31" w:rsidRPr="00CF38C7">
        <w:rPr>
          <w:rFonts w:ascii="Tahoma" w:hAnsi="Tahoma" w:cs="Tahoma"/>
          <w:sz w:val="22"/>
          <w:szCs w:val="22"/>
        </w:rPr>
        <w:t>%)</w:t>
      </w:r>
      <w:r w:rsidRPr="00CF38C7">
        <w:rPr>
          <w:rFonts w:ascii="Tahoma" w:hAnsi="Tahoma" w:cs="Tahoma"/>
          <w:sz w:val="22"/>
          <w:szCs w:val="22"/>
        </w:rPr>
        <w:t xml:space="preserve"> και επιδείνωση της ρευστότητας (81,7%)</w:t>
      </w:r>
      <w:r w:rsidR="00520B31" w:rsidRPr="00CF38C7">
        <w:rPr>
          <w:rFonts w:ascii="Tahoma" w:hAnsi="Tahoma" w:cs="Tahoma"/>
          <w:sz w:val="22"/>
          <w:szCs w:val="22"/>
        </w:rPr>
        <w:t>.</w:t>
      </w:r>
    </w:p>
    <w:p w:rsidR="0075461E" w:rsidRDefault="00CF38C7" w:rsidP="0064755D">
      <w:pPr>
        <w:pStyle w:val="aa"/>
        <w:numPr>
          <w:ilvl w:val="0"/>
          <w:numId w:val="8"/>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CF38C7">
        <w:rPr>
          <w:rFonts w:ascii="Tahoma" w:hAnsi="Tahoma" w:cs="Tahoma"/>
          <w:b/>
          <w:sz w:val="22"/>
          <w:szCs w:val="22"/>
        </w:rPr>
        <w:t>Ο δείκτης</w:t>
      </w:r>
      <w:r w:rsidR="00520B31" w:rsidRPr="00CF38C7">
        <w:rPr>
          <w:rFonts w:ascii="Tahoma" w:hAnsi="Tahoma" w:cs="Tahoma"/>
          <w:b/>
          <w:sz w:val="22"/>
          <w:szCs w:val="22"/>
        </w:rPr>
        <w:t xml:space="preserve"> </w:t>
      </w:r>
      <w:proofErr w:type="spellStart"/>
      <w:r w:rsidRPr="00CF38C7">
        <w:rPr>
          <w:rFonts w:ascii="Tahoma" w:hAnsi="Tahoma" w:cs="Tahoma"/>
          <w:b/>
          <w:sz w:val="22"/>
          <w:szCs w:val="22"/>
        </w:rPr>
        <w:t>απο</w:t>
      </w:r>
      <w:r w:rsidR="00520B31" w:rsidRPr="00CF38C7">
        <w:rPr>
          <w:rFonts w:ascii="Tahoma" w:hAnsi="Tahoma" w:cs="Tahoma"/>
          <w:b/>
          <w:sz w:val="22"/>
          <w:szCs w:val="22"/>
        </w:rPr>
        <w:t>επένδυσης</w:t>
      </w:r>
      <w:proofErr w:type="spellEnd"/>
      <w:r w:rsidRPr="00CF38C7">
        <w:rPr>
          <w:rFonts w:ascii="Tahoma" w:hAnsi="Tahoma" w:cs="Tahoma"/>
          <w:b/>
          <w:sz w:val="22"/>
          <w:szCs w:val="22"/>
        </w:rPr>
        <w:t xml:space="preserve"> </w:t>
      </w:r>
      <w:r>
        <w:rPr>
          <w:rFonts w:ascii="Tahoma" w:hAnsi="Tahoma" w:cs="Tahoma"/>
          <w:b/>
          <w:sz w:val="22"/>
          <w:szCs w:val="22"/>
        </w:rPr>
        <w:t>κινείται</w:t>
      </w:r>
      <w:r w:rsidRPr="00CF38C7">
        <w:rPr>
          <w:rFonts w:ascii="Tahoma" w:hAnsi="Tahoma" w:cs="Tahoma"/>
          <w:b/>
          <w:sz w:val="22"/>
          <w:szCs w:val="22"/>
        </w:rPr>
        <w:t xml:space="preserve"> σε υψηλά επίπεδα</w:t>
      </w:r>
      <w:r w:rsidR="00520B31" w:rsidRPr="00CF38C7">
        <w:rPr>
          <w:rFonts w:ascii="Tahoma" w:hAnsi="Tahoma" w:cs="Tahoma"/>
          <w:sz w:val="22"/>
          <w:szCs w:val="22"/>
        </w:rPr>
        <w:t xml:space="preserve">, </w:t>
      </w:r>
      <w:r w:rsidRPr="00CF38C7">
        <w:rPr>
          <w:rFonts w:ascii="Tahoma" w:hAnsi="Tahoma" w:cs="Tahoma"/>
          <w:sz w:val="22"/>
          <w:szCs w:val="22"/>
        </w:rPr>
        <w:t>καθώς το 49,8</w:t>
      </w:r>
      <w:r w:rsidR="00FD042B">
        <w:rPr>
          <w:rFonts w:ascii="Tahoma" w:hAnsi="Tahoma" w:cs="Tahoma"/>
          <w:sz w:val="22"/>
          <w:szCs w:val="22"/>
        </w:rPr>
        <w:t>%</w:t>
      </w:r>
      <w:r w:rsidRPr="00CF38C7">
        <w:rPr>
          <w:rFonts w:ascii="Tahoma" w:hAnsi="Tahoma" w:cs="Tahoma"/>
          <w:sz w:val="22"/>
          <w:szCs w:val="22"/>
        </w:rPr>
        <w:t xml:space="preserve"> των επιχειρήσεων δήλωσε μείωση των επενδύσεων στο προηγούμενο</w:t>
      </w:r>
      <w:r w:rsidR="0075461E">
        <w:rPr>
          <w:rFonts w:ascii="Tahoma" w:hAnsi="Tahoma" w:cs="Tahoma"/>
          <w:sz w:val="22"/>
          <w:szCs w:val="22"/>
        </w:rPr>
        <w:t xml:space="preserve"> εξάμηνο</w:t>
      </w:r>
      <w:r w:rsidRPr="00CF38C7">
        <w:rPr>
          <w:rFonts w:ascii="Tahoma" w:hAnsi="Tahoma" w:cs="Tahoma"/>
          <w:sz w:val="22"/>
          <w:szCs w:val="22"/>
        </w:rPr>
        <w:t xml:space="preserve">, ενώ μόνο το 4,9% αύξησε τις επενδύσεις. Η κατάσταση αυτή αποτελεί προάγγελο μιας συνέχισης της διολίσθησης της ελληνικής οικονομίας σε ένα νέο φαύλο κύκλο ύφεσης- </w:t>
      </w:r>
      <w:proofErr w:type="spellStart"/>
      <w:r w:rsidRPr="00CF38C7">
        <w:rPr>
          <w:rFonts w:ascii="Tahoma" w:hAnsi="Tahoma" w:cs="Tahoma"/>
          <w:sz w:val="22"/>
          <w:szCs w:val="22"/>
        </w:rPr>
        <w:t>αποεπένδυσης</w:t>
      </w:r>
      <w:proofErr w:type="spellEnd"/>
      <w:r w:rsidRPr="00CF38C7">
        <w:rPr>
          <w:rFonts w:ascii="Tahoma" w:hAnsi="Tahoma" w:cs="Tahoma"/>
          <w:sz w:val="22"/>
          <w:szCs w:val="22"/>
        </w:rPr>
        <w:t>- υποαπασχόλησης των παραγωγικών συντελεστών.</w:t>
      </w:r>
    </w:p>
    <w:p w:rsidR="005912D2" w:rsidRPr="0075461E" w:rsidRDefault="0075461E" w:rsidP="0064755D">
      <w:pPr>
        <w:pStyle w:val="aa"/>
        <w:numPr>
          <w:ilvl w:val="0"/>
          <w:numId w:val="8"/>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75461E">
        <w:rPr>
          <w:rFonts w:ascii="Tahoma" w:hAnsi="Tahoma" w:cs="Tahoma"/>
          <w:sz w:val="22"/>
          <w:szCs w:val="22"/>
        </w:rPr>
        <w:t xml:space="preserve">Οι προβλέψεις σχετικά με την πορεία των επιχειρήσεων το επόμενο εξάμηνο φέρουν βαρύ το αποτύπωμα από τις πρόσφατες εξελίξεις στις τράπεζες και την πραγματική οικονομία. Μάλιστα, η αβεβαιότητα παραμένει παρά την επίτευξη συμφωνίας, γεγονός που αντανακλά την πραγματική αγωνία για την επόμενη ημέρα της ελληνικής οικονομίας. </w:t>
      </w:r>
      <w:r w:rsidRPr="0075461E">
        <w:rPr>
          <w:rFonts w:ascii="Tahoma" w:hAnsi="Tahoma" w:cs="Tahoma"/>
          <w:b/>
          <w:sz w:val="22"/>
          <w:szCs w:val="22"/>
        </w:rPr>
        <w:t xml:space="preserve">Το ισοζύγιο </w:t>
      </w:r>
      <w:r>
        <w:rPr>
          <w:rFonts w:ascii="Tahoma" w:hAnsi="Tahoma" w:cs="Tahoma"/>
          <w:b/>
          <w:sz w:val="22"/>
          <w:szCs w:val="22"/>
        </w:rPr>
        <w:t>αρνητικών και θε</w:t>
      </w:r>
      <w:r w:rsidRPr="0075461E">
        <w:rPr>
          <w:rFonts w:ascii="Tahoma" w:hAnsi="Tahoma" w:cs="Tahoma"/>
          <w:b/>
          <w:sz w:val="22"/>
          <w:szCs w:val="22"/>
        </w:rPr>
        <w:t xml:space="preserve">τικών επιχειρηματικών προσδοκιών για το δεύτερο εξάμηνο του 2015 </w:t>
      </w:r>
      <w:r w:rsidR="007C59A4">
        <w:rPr>
          <w:rFonts w:ascii="Tahoma" w:hAnsi="Tahoma" w:cs="Tahoma"/>
          <w:b/>
          <w:sz w:val="22"/>
          <w:szCs w:val="22"/>
        </w:rPr>
        <w:t>εκτοξεύτηκε στα επίπεδα της περιόδου 2011-2012</w:t>
      </w:r>
      <w:r w:rsidR="007C59A4">
        <w:rPr>
          <w:rFonts w:ascii="Tahoma" w:hAnsi="Tahoma" w:cs="Tahoma"/>
          <w:sz w:val="22"/>
          <w:szCs w:val="22"/>
        </w:rPr>
        <w:t xml:space="preserve"> (-61,6</w:t>
      </w:r>
      <w:r w:rsidRPr="0075461E">
        <w:rPr>
          <w:rFonts w:ascii="Tahoma" w:hAnsi="Tahoma" w:cs="Tahoma"/>
          <w:sz w:val="22"/>
          <w:szCs w:val="22"/>
        </w:rPr>
        <w:t xml:space="preserve"> από </w:t>
      </w:r>
      <w:r w:rsidR="007C59A4">
        <w:rPr>
          <w:rFonts w:ascii="Tahoma" w:hAnsi="Tahoma" w:cs="Tahoma"/>
          <w:sz w:val="22"/>
          <w:szCs w:val="22"/>
        </w:rPr>
        <w:t>–0,8</w:t>
      </w:r>
      <w:r w:rsidRPr="0075461E">
        <w:rPr>
          <w:rFonts w:ascii="Tahoma" w:hAnsi="Tahoma" w:cs="Tahoma"/>
          <w:sz w:val="22"/>
          <w:szCs w:val="22"/>
        </w:rPr>
        <w:t>). Σε όλους τους επί μέρους δείκτες οικονομικών προσδοκιών καταγράφονται συντριπτικά αρνητικές επιδόσεις και απαισιοδοξία για πάνω από 7 στις 10 επιχειρήσεις.</w:t>
      </w:r>
    </w:p>
    <w:p w:rsidR="00CF38C7" w:rsidRPr="00CF38C7" w:rsidRDefault="00CF38C7" w:rsidP="0064755D">
      <w:pPr>
        <w:pStyle w:val="aa"/>
        <w:numPr>
          <w:ilvl w:val="0"/>
          <w:numId w:val="8"/>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CF38C7">
        <w:rPr>
          <w:rFonts w:ascii="Tahoma" w:hAnsi="Tahoma" w:cs="Tahoma"/>
          <w:sz w:val="22"/>
          <w:szCs w:val="22"/>
        </w:rPr>
        <w:t xml:space="preserve">Ενδεικτική </w:t>
      </w:r>
      <w:r w:rsidR="0075461E">
        <w:rPr>
          <w:rFonts w:ascii="Tahoma" w:hAnsi="Tahoma" w:cs="Tahoma"/>
          <w:sz w:val="22"/>
          <w:szCs w:val="22"/>
        </w:rPr>
        <w:t>της επίπτωσης των νέων φόρων και του αυξημένου ΦΠΑ είναι η τάση που εμφανίζεται στο επίπεδο των τιμών, καθώς ο αριθμός των επιχειρήσεων που δηλώνει ότι θα αυξήσει τις τιμές στο επόμενο εξάμηνο υπερδιπλασιάζεται (από το 5,7% στο 12,6%).</w:t>
      </w:r>
    </w:p>
    <w:p w:rsidR="00DC79DB" w:rsidRPr="00972FF9" w:rsidRDefault="00DC79DB"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color w:val="FF0000"/>
          <w:sz w:val="22"/>
          <w:szCs w:val="22"/>
        </w:rPr>
      </w:pPr>
    </w:p>
    <w:p w:rsidR="00C9611A" w:rsidRPr="00473A9F" w:rsidRDefault="000D2D16"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r w:rsidRPr="00473A9F">
        <w:rPr>
          <w:rFonts w:ascii="Tahoma" w:hAnsi="Tahoma" w:cs="Tahoma"/>
          <w:b/>
          <w:sz w:val="22"/>
          <w:szCs w:val="22"/>
        </w:rPr>
        <w:t xml:space="preserve">Β. </w:t>
      </w:r>
      <w:r w:rsidR="003F7FBB" w:rsidRPr="00473A9F">
        <w:rPr>
          <w:rFonts w:ascii="Tahoma" w:hAnsi="Tahoma" w:cs="Tahoma"/>
          <w:b/>
          <w:sz w:val="22"/>
          <w:szCs w:val="22"/>
        </w:rPr>
        <w:t>ΛΟΥΚΕΤΑ</w:t>
      </w:r>
      <w:r w:rsidRPr="00473A9F">
        <w:rPr>
          <w:rFonts w:ascii="Tahoma" w:hAnsi="Tahoma" w:cs="Tahoma"/>
          <w:b/>
          <w:sz w:val="22"/>
          <w:szCs w:val="22"/>
        </w:rPr>
        <w:t>- ΕΠΙΧΕΙΡΗΜΑΤΙΚΗ ΔΡΑΣΤΗΡΙΟΤΗΤΑ</w:t>
      </w:r>
    </w:p>
    <w:p w:rsidR="00092934" w:rsidRPr="00972FF9" w:rsidRDefault="00092934"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color w:val="FF0000"/>
          <w:sz w:val="22"/>
          <w:szCs w:val="22"/>
        </w:rPr>
      </w:pPr>
    </w:p>
    <w:p w:rsidR="007C59A4" w:rsidRPr="007C59A4" w:rsidRDefault="007C59A4" w:rsidP="0064755D">
      <w:pPr>
        <w:pStyle w:val="aa"/>
        <w:numPr>
          <w:ilvl w:val="0"/>
          <w:numId w:val="16"/>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7C59A4">
        <w:rPr>
          <w:rFonts w:ascii="Tahoma" w:hAnsi="Tahoma" w:cs="Tahoma"/>
          <w:sz w:val="22"/>
          <w:szCs w:val="22"/>
        </w:rPr>
        <w:t xml:space="preserve">Το ποσοστό των μικρών επιχειρήσεων, που θεωρούν πολύ ή αρκετά πιθανό το ενδεχόμενο να έχουν το επόμενο διάστημα σοβαρό πρόβλημα λειτουργίας, σε βαθμό που θα κινδυνεύσουν να κλείσουν επανήλθε στα επίπεδα των προηγούμενων ετών, αντανακλώντας το πραγματικό πρόβλημα επιβίωσης που αντιμετωπίζουν οι επαγγελματίες και οι επιχειρήσεις. Το 46,3% των επιχειρήσεων θεωρεί ως πολύ πιθανό τον κίνδυνο λουκέτου (έναντι 32,9% στην αντίστοιχη έρευνα Φεβρουαρίου 2015). </w:t>
      </w:r>
    </w:p>
    <w:p w:rsidR="00473A9F" w:rsidRDefault="007C59A4" w:rsidP="0064755D">
      <w:pPr>
        <w:pStyle w:val="aa"/>
        <w:numPr>
          <w:ilvl w:val="0"/>
          <w:numId w:val="16"/>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73A9F">
        <w:rPr>
          <w:rFonts w:ascii="Tahoma" w:hAnsi="Tahoma" w:cs="Tahoma"/>
          <w:sz w:val="22"/>
          <w:szCs w:val="22"/>
        </w:rPr>
        <w:t xml:space="preserve">Άμεσο κίνδυνο κλεισίματος το επόμενο εξάμηνο αντιμετωπίζει </w:t>
      </w:r>
      <w:r w:rsidR="00F731A7">
        <w:rPr>
          <w:rFonts w:ascii="Tahoma" w:hAnsi="Tahoma" w:cs="Tahoma"/>
          <w:sz w:val="22"/>
          <w:szCs w:val="22"/>
        </w:rPr>
        <w:t xml:space="preserve">το 27,3 </w:t>
      </w:r>
      <w:r w:rsidR="00FA3D17">
        <w:rPr>
          <w:rFonts w:ascii="Tahoma" w:hAnsi="Tahoma" w:cs="Tahoma"/>
          <w:sz w:val="22"/>
          <w:szCs w:val="22"/>
        </w:rPr>
        <w:t>% των μικρών επιχειρήσεων</w:t>
      </w:r>
      <w:r w:rsidRPr="00473A9F">
        <w:rPr>
          <w:rFonts w:ascii="Tahoma" w:hAnsi="Tahoma" w:cs="Tahoma"/>
          <w:sz w:val="22"/>
          <w:szCs w:val="22"/>
        </w:rPr>
        <w:t xml:space="preserve">. </w:t>
      </w:r>
      <w:r w:rsidRPr="00DD1914">
        <w:rPr>
          <w:rFonts w:ascii="Tahoma" w:hAnsi="Tahoma" w:cs="Tahoma"/>
          <w:b/>
          <w:sz w:val="22"/>
          <w:szCs w:val="22"/>
        </w:rPr>
        <w:t xml:space="preserve">Εκτιμάται ότι η μείωση επιχειρήσεων το επόμενο εξάμηνο θα είναι </w:t>
      </w:r>
      <w:r w:rsidR="006250C8" w:rsidRPr="00DD1914">
        <w:rPr>
          <w:rFonts w:ascii="Tahoma" w:hAnsi="Tahoma" w:cs="Tahoma"/>
          <w:b/>
          <w:sz w:val="22"/>
          <w:szCs w:val="22"/>
        </w:rPr>
        <w:t>63</w:t>
      </w:r>
      <w:r w:rsidR="00F731A7" w:rsidRPr="00DD1914">
        <w:rPr>
          <w:rFonts w:ascii="Tahoma" w:hAnsi="Tahoma" w:cs="Tahoma"/>
          <w:b/>
          <w:sz w:val="22"/>
          <w:szCs w:val="22"/>
        </w:rPr>
        <w:t>,000</w:t>
      </w:r>
      <w:r w:rsidRPr="00DD1914">
        <w:rPr>
          <w:rFonts w:ascii="Tahoma" w:hAnsi="Tahoma" w:cs="Tahoma"/>
          <w:b/>
          <w:sz w:val="22"/>
          <w:szCs w:val="22"/>
        </w:rPr>
        <w:t xml:space="preserve"> και θα αφορά κυρίως τις πολύ μικρές επιχειρήσεις.</w:t>
      </w:r>
      <w:r w:rsidRPr="00473A9F">
        <w:rPr>
          <w:rFonts w:ascii="Tahoma" w:hAnsi="Tahoma" w:cs="Tahoma"/>
          <w:sz w:val="22"/>
          <w:szCs w:val="22"/>
        </w:rPr>
        <w:t xml:space="preserve"> Αξίζει να σημειωθεί ότι το 30% των αυτοαπασχολούμενων δηλώνει ότι </w:t>
      </w:r>
      <w:r w:rsidRPr="007A6E12">
        <w:rPr>
          <w:rFonts w:ascii="Tahoma" w:hAnsi="Tahoma" w:cs="Tahoma"/>
          <w:sz w:val="22"/>
          <w:szCs w:val="22"/>
        </w:rPr>
        <w:t xml:space="preserve">είναι πολύ </w:t>
      </w:r>
      <w:r w:rsidR="00983304" w:rsidRPr="007A6E12">
        <w:rPr>
          <w:rFonts w:ascii="Tahoma" w:hAnsi="Tahoma" w:cs="Tahoma"/>
          <w:sz w:val="22"/>
          <w:szCs w:val="22"/>
        </w:rPr>
        <w:t xml:space="preserve">πιθανό να διακόψει ή να </w:t>
      </w:r>
      <w:r w:rsidRPr="007A6E12">
        <w:rPr>
          <w:rFonts w:ascii="Tahoma" w:hAnsi="Tahoma" w:cs="Tahoma"/>
          <w:sz w:val="22"/>
          <w:szCs w:val="22"/>
        </w:rPr>
        <w:t>αναστείλει την</w:t>
      </w:r>
      <w:r w:rsidRPr="00473A9F">
        <w:rPr>
          <w:rFonts w:ascii="Tahoma" w:hAnsi="Tahoma" w:cs="Tahoma"/>
          <w:sz w:val="22"/>
          <w:szCs w:val="22"/>
        </w:rPr>
        <w:t xml:space="preserve"> επιχειρηματική δραστηριότητα. </w:t>
      </w:r>
    </w:p>
    <w:p w:rsidR="007C59A4" w:rsidRPr="00473A9F" w:rsidRDefault="007C59A4" w:rsidP="0064755D">
      <w:pPr>
        <w:pStyle w:val="aa"/>
        <w:numPr>
          <w:ilvl w:val="0"/>
          <w:numId w:val="16"/>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73A9F">
        <w:rPr>
          <w:rFonts w:ascii="Tahoma" w:hAnsi="Tahoma" w:cs="Tahoma"/>
          <w:sz w:val="22"/>
          <w:szCs w:val="22"/>
        </w:rPr>
        <w:t xml:space="preserve">Επισημαίνεται ότι σύμφωνα με το σενάριο βάσης του ΙΜΕ-ΓΣΕΒΕΕ τα πιθανά λουκέτα επιχειρήσεων, </w:t>
      </w:r>
      <w:r w:rsidRPr="00DD1914">
        <w:rPr>
          <w:rFonts w:ascii="Tahoma" w:hAnsi="Tahoma" w:cs="Tahoma"/>
          <w:b/>
          <w:sz w:val="22"/>
          <w:szCs w:val="22"/>
        </w:rPr>
        <w:t xml:space="preserve">που βρίσκονται στο «κόκκινο» συνεπάγονται κίνδυνο απώλειας </w:t>
      </w:r>
      <w:r w:rsidR="006250C8" w:rsidRPr="00DD1914">
        <w:rPr>
          <w:rFonts w:ascii="Tahoma" w:hAnsi="Tahoma" w:cs="Tahoma"/>
          <w:b/>
          <w:sz w:val="22"/>
          <w:szCs w:val="22"/>
        </w:rPr>
        <w:t>138</w:t>
      </w:r>
      <w:r w:rsidR="00F731A7" w:rsidRPr="00DD1914">
        <w:rPr>
          <w:rFonts w:ascii="Tahoma" w:hAnsi="Tahoma" w:cs="Tahoma"/>
          <w:b/>
          <w:sz w:val="22"/>
          <w:szCs w:val="22"/>
        </w:rPr>
        <w:t xml:space="preserve">,000 </w:t>
      </w:r>
      <w:r w:rsidRPr="00DD1914">
        <w:rPr>
          <w:rFonts w:ascii="Tahoma" w:hAnsi="Tahoma" w:cs="Tahoma"/>
          <w:b/>
          <w:sz w:val="22"/>
          <w:szCs w:val="22"/>
        </w:rPr>
        <w:t>θέσεων συνολικής απασχόλησης (εργοδότες, αυτοαπασχολούμενοι, μισθωτοί).</w:t>
      </w:r>
      <w:r w:rsidRPr="00473A9F">
        <w:rPr>
          <w:rFonts w:ascii="Tahoma" w:hAnsi="Tahoma" w:cs="Tahoma"/>
          <w:sz w:val="22"/>
          <w:szCs w:val="22"/>
        </w:rPr>
        <w:t xml:space="preserve"> </w:t>
      </w:r>
    </w:p>
    <w:p w:rsidR="00DC79DB" w:rsidRDefault="00DC79DB" w:rsidP="0064755D">
      <w:pPr>
        <w:pBdr>
          <w:top w:val="single" w:sz="4" w:space="2" w:color="auto"/>
          <w:left w:val="single" w:sz="4" w:space="4" w:color="auto"/>
          <w:bottom w:val="single" w:sz="4" w:space="1" w:color="auto"/>
          <w:right w:val="single" w:sz="4" w:space="4" w:color="auto"/>
        </w:pBdr>
        <w:jc w:val="both"/>
        <w:rPr>
          <w:rFonts w:ascii="Tahoma" w:hAnsi="Tahoma" w:cs="Tahoma"/>
          <w:color w:val="FF0000"/>
          <w:sz w:val="22"/>
          <w:szCs w:val="22"/>
        </w:rPr>
      </w:pPr>
    </w:p>
    <w:p w:rsidR="00DD1914" w:rsidRPr="00972FF9" w:rsidRDefault="00DD1914" w:rsidP="0064755D">
      <w:pPr>
        <w:pBdr>
          <w:top w:val="single" w:sz="4" w:space="2" w:color="auto"/>
          <w:left w:val="single" w:sz="4" w:space="4" w:color="auto"/>
          <w:bottom w:val="single" w:sz="4" w:space="1" w:color="auto"/>
          <w:right w:val="single" w:sz="4" w:space="4" w:color="auto"/>
        </w:pBdr>
        <w:jc w:val="both"/>
        <w:rPr>
          <w:rFonts w:ascii="Tahoma" w:hAnsi="Tahoma" w:cs="Tahoma"/>
          <w:color w:val="FF0000"/>
          <w:sz w:val="22"/>
          <w:szCs w:val="22"/>
        </w:rPr>
      </w:pPr>
    </w:p>
    <w:p w:rsidR="004F3707" w:rsidRPr="00473A9F" w:rsidRDefault="000D2D16"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r w:rsidRPr="00473A9F">
        <w:rPr>
          <w:rFonts w:ascii="Tahoma" w:hAnsi="Tahoma" w:cs="Tahoma"/>
          <w:b/>
          <w:sz w:val="22"/>
          <w:szCs w:val="22"/>
        </w:rPr>
        <w:t xml:space="preserve">Γ. </w:t>
      </w:r>
      <w:r w:rsidR="003F7FBB" w:rsidRPr="00473A9F">
        <w:rPr>
          <w:rFonts w:ascii="Tahoma" w:hAnsi="Tahoma" w:cs="Tahoma"/>
          <w:b/>
          <w:sz w:val="22"/>
          <w:szCs w:val="22"/>
        </w:rPr>
        <w:t>ΥΠΟΧΡΕΩΣΕΙΣ- ΟΦΕΙΛΕΣ</w:t>
      </w:r>
    </w:p>
    <w:p w:rsidR="00884024" w:rsidRPr="00972FF9" w:rsidRDefault="00884024"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color w:val="FF0000"/>
          <w:sz w:val="22"/>
          <w:szCs w:val="22"/>
        </w:rPr>
      </w:pPr>
    </w:p>
    <w:p w:rsidR="00EB2C7D" w:rsidRPr="00DD1914" w:rsidRDefault="00473A9F" w:rsidP="0064755D">
      <w:pPr>
        <w:pStyle w:val="aa"/>
        <w:numPr>
          <w:ilvl w:val="0"/>
          <w:numId w:val="2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DD1914">
        <w:rPr>
          <w:rFonts w:ascii="Tahoma" w:hAnsi="Tahoma" w:cs="Tahoma"/>
          <w:b/>
          <w:sz w:val="22"/>
          <w:szCs w:val="22"/>
        </w:rPr>
        <w:lastRenderedPageBreak/>
        <w:t xml:space="preserve">Το μεγαλύτερο ποσοστό των επιχειρήσεων με καθυστερημένες οφειλές αφορά </w:t>
      </w:r>
      <w:r w:rsidR="00FA3D17" w:rsidRPr="00DD1914">
        <w:rPr>
          <w:rFonts w:ascii="Tahoma" w:hAnsi="Tahoma" w:cs="Tahoma"/>
          <w:b/>
          <w:sz w:val="22"/>
          <w:szCs w:val="22"/>
        </w:rPr>
        <w:t>τις υποχρεώσεις προς το δημόσιο (ασφαλιστικά ταμεία, εφορία, ΔΕΚΟ)</w:t>
      </w:r>
      <w:r w:rsidRPr="00DD1914">
        <w:rPr>
          <w:rFonts w:ascii="Tahoma" w:hAnsi="Tahoma" w:cs="Tahoma"/>
          <w:b/>
          <w:sz w:val="22"/>
          <w:szCs w:val="22"/>
        </w:rPr>
        <w:t>.</w:t>
      </w:r>
      <w:r w:rsidRPr="00DD1914">
        <w:rPr>
          <w:rFonts w:ascii="Tahoma" w:hAnsi="Tahoma" w:cs="Tahoma"/>
          <w:sz w:val="22"/>
          <w:szCs w:val="22"/>
        </w:rPr>
        <w:t xml:space="preserve"> </w:t>
      </w:r>
      <w:r w:rsidR="00FA3D17" w:rsidRPr="00DD1914">
        <w:rPr>
          <w:rFonts w:ascii="Tahoma" w:hAnsi="Tahoma" w:cs="Tahoma"/>
          <w:sz w:val="22"/>
          <w:szCs w:val="22"/>
        </w:rPr>
        <w:t>Σημαντική αύξηση σημείωσαν οι ληξιπρόθεσμες υποχρεώσεις προς τις ΔΕΚΟ (από 25,5% σε 29,1%)</w:t>
      </w:r>
      <w:r w:rsidR="00DC79DB" w:rsidRPr="00DD1914">
        <w:rPr>
          <w:rFonts w:ascii="Tahoma" w:hAnsi="Tahoma" w:cs="Tahoma"/>
          <w:sz w:val="22"/>
          <w:szCs w:val="22"/>
        </w:rPr>
        <w:t>.</w:t>
      </w:r>
    </w:p>
    <w:p w:rsidR="00473A9F" w:rsidRPr="00DC79DB" w:rsidRDefault="00473A9F" w:rsidP="0064755D">
      <w:pPr>
        <w:pStyle w:val="aa"/>
        <w:numPr>
          <w:ilvl w:val="0"/>
          <w:numId w:val="2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73A9F">
        <w:rPr>
          <w:rFonts w:ascii="Tahoma" w:hAnsi="Tahoma" w:cs="Tahoma"/>
          <w:sz w:val="22"/>
          <w:szCs w:val="22"/>
        </w:rPr>
        <w:t xml:space="preserve">Στο πεδίο των φορολογικών υποχρεώσεων, παρά τις ευεργετικές ρυθμίσεις των 100 δόσεων για φορολογικές και ασφαλιστικές οφειλές που αξιοποίησαν οι επιχειρήσεις μέσα στο πρώτο εξάμηνο του 2015 (3 στις 10 δηλώνει ότι έχει κάνει αίτηση υπαγωγής έναντι 11% για την προηγούμενη </w:t>
      </w:r>
      <w:r w:rsidR="00BE45C5">
        <w:rPr>
          <w:rFonts w:ascii="Tahoma" w:hAnsi="Tahoma" w:cs="Tahoma"/>
          <w:sz w:val="22"/>
          <w:szCs w:val="22"/>
        </w:rPr>
        <w:t>ρύθμιση</w:t>
      </w:r>
      <w:r w:rsidRPr="00473A9F">
        <w:rPr>
          <w:rFonts w:ascii="Tahoma" w:hAnsi="Tahoma" w:cs="Tahoma"/>
          <w:sz w:val="22"/>
          <w:szCs w:val="22"/>
        </w:rPr>
        <w:t>) παραμένει η εκπεφρασμένη αδυναμία τους να εκπληρώσουν τις υψηλές</w:t>
      </w:r>
      <w:r w:rsidRPr="00DC79DB">
        <w:rPr>
          <w:rFonts w:ascii="Tahoma" w:hAnsi="Tahoma" w:cs="Tahoma"/>
          <w:sz w:val="22"/>
          <w:szCs w:val="22"/>
        </w:rPr>
        <w:t xml:space="preserve"> φορολογικές και ασφαλιστικές υποχρεώσεις στο επόμενο εξάμηνο (το 37,9% δηλώνει αδυναμία πληρωμής).</w:t>
      </w:r>
    </w:p>
    <w:p w:rsidR="003F46F5" w:rsidRDefault="00473A9F" w:rsidP="0064755D">
      <w:pPr>
        <w:pStyle w:val="aa"/>
        <w:numPr>
          <w:ilvl w:val="0"/>
          <w:numId w:val="2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473A9F">
        <w:rPr>
          <w:rFonts w:ascii="Tahoma" w:hAnsi="Tahoma" w:cs="Tahoma"/>
          <w:sz w:val="22"/>
          <w:szCs w:val="22"/>
        </w:rPr>
        <w:t>Μεγάλο μέρος των καθυστερημένων οφειλών των επιχειρήσεων αφορά τις ασφαλιστικές οφειλές προς  το κύριο ασφαλιστικό ταμείο των επαγγελματιών, τον ΟΑΕΕ (35,6%</w:t>
      </w:r>
      <w:r>
        <w:rPr>
          <w:rFonts w:ascii="Tahoma" w:hAnsi="Tahoma" w:cs="Tahoma"/>
          <w:sz w:val="22"/>
          <w:szCs w:val="22"/>
        </w:rPr>
        <w:t>).</w:t>
      </w:r>
    </w:p>
    <w:p w:rsidR="003F46F5" w:rsidRPr="003F46F5" w:rsidRDefault="003F46F5" w:rsidP="0064755D">
      <w:pPr>
        <w:pStyle w:val="aa"/>
        <w:numPr>
          <w:ilvl w:val="0"/>
          <w:numId w:val="2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3F46F5">
        <w:rPr>
          <w:rFonts w:ascii="Tahoma" w:hAnsi="Tahoma" w:cs="Tahoma"/>
          <w:sz w:val="22"/>
          <w:szCs w:val="22"/>
        </w:rPr>
        <w:t xml:space="preserve">Ληξιπρόθεσμες οφειλές προς τις τράπεζες έχει το 16,3% των μικρών επιχειρήσεων. Οι νέες ρυθμίσεις για τα κόκκινα δάνεια και την προστασία της πρώτης κατοικίας πρέπει να </w:t>
      </w:r>
      <w:r w:rsidRPr="003F46F5">
        <w:rPr>
          <w:rFonts w:ascii="Tahoma" w:hAnsi="Tahoma" w:cs="Tahoma"/>
          <w:sz w:val="22"/>
          <w:szCs w:val="22"/>
        </w:rPr>
        <w:tab/>
        <w:t>λάβουν υπόψη το δεδομένο της σταθερής αύξησης του ιδιωτικού χρέους.</w:t>
      </w:r>
    </w:p>
    <w:p w:rsidR="00DC79DB" w:rsidRDefault="00DC79DB" w:rsidP="0064755D">
      <w:pPr>
        <w:pBdr>
          <w:top w:val="single" w:sz="4" w:space="2" w:color="auto"/>
          <w:left w:val="single" w:sz="4" w:space="4" w:color="auto"/>
          <w:bottom w:val="single" w:sz="4" w:space="1" w:color="auto"/>
          <w:right w:val="single" w:sz="4" w:space="4" w:color="auto"/>
        </w:pBdr>
        <w:jc w:val="both"/>
        <w:rPr>
          <w:rFonts w:ascii="Tahoma" w:hAnsi="Tahoma" w:cs="Tahoma"/>
          <w:sz w:val="22"/>
          <w:szCs w:val="22"/>
        </w:rPr>
      </w:pPr>
    </w:p>
    <w:p w:rsidR="0064755D" w:rsidRPr="00473A9F" w:rsidRDefault="0064755D" w:rsidP="0064755D">
      <w:pPr>
        <w:pBdr>
          <w:top w:val="single" w:sz="4" w:space="2" w:color="auto"/>
          <w:left w:val="single" w:sz="4" w:space="4" w:color="auto"/>
          <w:bottom w:val="single" w:sz="4" w:space="1" w:color="auto"/>
          <w:right w:val="single" w:sz="4" w:space="4" w:color="auto"/>
        </w:pBdr>
        <w:jc w:val="both"/>
        <w:rPr>
          <w:rFonts w:ascii="Tahoma" w:hAnsi="Tahoma" w:cs="Tahoma"/>
          <w:sz w:val="22"/>
          <w:szCs w:val="22"/>
        </w:rPr>
      </w:pPr>
    </w:p>
    <w:p w:rsidR="00E740B6" w:rsidRPr="00EB2C7D" w:rsidRDefault="00E740B6"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r w:rsidRPr="00EB2C7D">
        <w:rPr>
          <w:rFonts w:ascii="Tahoma" w:hAnsi="Tahoma" w:cs="Tahoma"/>
          <w:b/>
          <w:sz w:val="22"/>
          <w:szCs w:val="22"/>
        </w:rPr>
        <w:t>Δ. ΑΠΑΣΧΟΛΗΣΗ</w:t>
      </w:r>
    </w:p>
    <w:p w:rsidR="00E740B6" w:rsidRPr="00473A9F" w:rsidRDefault="00E740B6"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color w:val="FF0000"/>
          <w:sz w:val="22"/>
          <w:szCs w:val="22"/>
        </w:rPr>
      </w:pPr>
    </w:p>
    <w:p w:rsidR="00BE45C5" w:rsidRDefault="00EB2C7D" w:rsidP="0064755D">
      <w:pPr>
        <w:pStyle w:val="aa"/>
        <w:numPr>
          <w:ilvl w:val="0"/>
          <w:numId w:val="1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DC79DB">
        <w:rPr>
          <w:rFonts w:ascii="Tahoma" w:hAnsi="Tahoma" w:cs="Tahoma"/>
          <w:b/>
          <w:sz w:val="22"/>
          <w:szCs w:val="22"/>
        </w:rPr>
        <w:t>Οι επιπτώσεις της πρόσφατης κρίσης στην απασχόληση είναι προφανείς καθώς κυρίως σε αυτόν τον τομέα εκδηλώνονται πρακτικά οι επιφυλάξεις των επιχειρήσεων για την οικονομική τους προοπτική</w:t>
      </w:r>
      <w:r w:rsidRPr="00EB2C7D">
        <w:rPr>
          <w:rFonts w:ascii="Tahoma" w:hAnsi="Tahoma" w:cs="Tahoma"/>
          <w:sz w:val="22"/>
          <w:szCs w:val="22"/>
        </w:rPr>
        <w:t>. Μείωση προσωπικού κατά το τελευταίο εξάμηνο ανέφερε το 11% των επιχειρήσεων ενώ αύξηση ανέφερε μόλις το 4,8%</w:t>
      </w:r>
      <w:r w:rsidR="00BE45C5">
        <w:rPr>
          <w:rFonts w:ascii="Tahoma" w:hAnsi="Tahoma" w:cs="Tahoma"/>
          <w:sz w:val="22"/>
          <w:szCs w:val="22"/>
        </w:rPr>
        <w:t>.</w:t>
      </w:r>
    </w:p>
    <w:p w:rsidR="00BE45C5" w:rsidRPr="00BE45C5" w:rsidRDefault="00BE45C5" w:rsidP="0064755D">
      <w:pPr>
        <w:pStyle w:val="aa"/>
        <w:numPr>
          <w:ilvl w:val="0"/>
          <w:numId w:val="1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DC79DB">
        <w:rPr>
          <w:rFonts w:ascii="Tahoma" w:hAnsi="Tahoma" w:cs="Tahoma"/>
          <w:b/>
          <w:sz w:val="22"/>
          <w:szCs w:val="22"/>
        </w:rPr>
        <w:t>Σε απόλυτα μεγέθη η απώλεια θέσεων συνολικής απασχόλησης στις μικρές και πολύ μικρές επιχειρήσεις κατά το προηγούμενο εξάμηνο</w:t>
      </w:r>
      <w:r>
        <w:rPr>
          <w:rFonts w:ascii="Tahoma" w:hAnsi="Tahoma" w:cs="Tahoma"/>
          <w:b/>
          <w:sz w:val="22"/>
          <w:szCs w:val="22"/>
        </w:rPr>
        <w:t xml:space="preserve"> του 2015 ανέρχεται στις 25,000</w:t>
      </w:r>
      <w:r w:rsidRPr="00DC79DB">
        <w:rPr>
          <w:rFonts w:ascii="Tahoma" w:hAnsi="Tahoma" w:cs="Tahoma"/>
          <w:b/>
          <w:sz w:val="22"/>
          <w:szCs w:val="22"/>
        </w:rPr>
        <w:t xml:space="preserve"> (εκ των οποίων οι 15,000 ήταν μισθωτής απασχόλησης)</w:t>
      </w:r>
      <w:r w:rsidRPr="00EB2C7D">
        <w:rPr>
          <w:rFonts w:ascii="Tahoma" w:hAnsi="Tahoma" w:cs="Tahoma"/>
          <w:sz w:val="22"/>
          <w:szCs w:val="22"/>
        </w:rPr>
        <w:t>, στοιχείο που εν μέρει επιβεβαιώνεται από τις ροές  μισθωτής απασχόλησης που δημοσιεύει η Εργάνη, καθώς προκύπτει ότι τον μήνα Ιούλιο σημειώθηκε αρνητικό ισοζύγιο προσλήψεων- απολύσεων (για πρώτη φορά έπειτα από 2 χρόνια), γεγονός που κρούει τον κώδωνα του κινδύνου για την πραγματική</w:t>
      </w:r>
      <w:r>
        <w:rPr>
          <w:rFonts w:ascii="Tahoma" w:hAnsi="Tahoma" w:cs="Tahoma"/>
          <w:sz w:val="22"/>
          <w:szCs w:val="22"/>
        </w:rPr>
        <w:t xml:space="preserve"> κατάσταση της οικονομίας</w:t>
      </w:r>
      <w:r w:rsidRPr="00EB2C7D">
        <w:rPr>
          <w:rFonts w:ascii="Tahoma" w:hAnsi="Tahoma" w:cs="Tahoma"/>
          <w:sz w:val="22"/>
          <w:szCs w:val="22"/>
        </w:rPr>
        <w:t xml:space="preserve">. </w:t>
      </w:r>
      <w:r w:rsidR="0064755D">
        <w:rPr>
          <w:rFonts w:ascii="Tahoma" w:hAnsi="Tahoma" w:cs="Tahoma"/>
          <w:sz w:val="22"/>
          <w:szCs w:val="22"/>
        </w:rPr>
        <w:t>Πρέπει να σημειωθεί ότι αυτή η πραγματικότητα έρχεται να αντικρούσει τις προσδοκίες που είχαν καλλιεργηθεί το προηγούμενο εξάμηνο για οριακή αύξηση των απασχολούμενων.</w:t>
      </w:r>
    </w:p>
    <w:p w:rsidR="00BE45C5" w:rsidRPr="00BE45C5" w:rsidRDefault="00EB2C7D" w:rsidP="0064755D">
      <w:pPr>
        <w:pStyle w:val="aa"/>
        <w:numPr>
          <w:ilvl w:val="0"/>
          <w:numId w:val="1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EB2C7D">
        <w:rPr>
          <w:rFonts w:ascii="Tahoma" w:hAnsi="Tahoma" w:cs="Tahoma"/>
          <w:sz w:val="22"/>
          <w:szCs w:val="22"/>
        </w:rPr>
        <w:t>Ανησυχητική είναι η εικόνα σχετικά με τις μελλοντικές ροές απασχόλησης. Οι προοπτικές για το επόμενο εξάμηνο παραμένουν αρνητικές, καθώς σχεδόν 1 στις 4 επιχειρήσεις προβλέπει μείωση του απασχολούμενου προσωπικού. Έντονο παρουσιάζεται το φαινόμενο στις επιχειρήσεις μεγαλύτερου μεγέθους (που απασχολούν από 5 άτομα και άνω) όπου είναι εμφανής η πρόθεσή τους να προβούν σε νέα αναδιάρθρωση των θέσεων και του κόστους απασχόλησης, προκειμένου να ανταποκριθούν στα νέα οικονομικά βάρη και την αναιμική αναπτυξιακή προοπτική. Σε αντιδιαστολή, οι πολύ μικρές επιχειρήσεις και οι αυτο</w:t>
      </w:r>
      <w:r w:rsidR="00D00BD9">
        <w:rPr>
          <w:rFonts w:ascii="Tahoma" w:hAnsi="Tahoma" w:cs="Tahoma"/>
          <w:sz w:val="22"/>
          <w:szCs w:val="22"/>
        </w:rPr>
        <w:t>α</w:t>
      </w:r>
      <w:r w:rsidRPr="00EB2C7D">
        <w:rPr>
          <w:rFonts w:ascii="Tahoma" w:hAnsi="Tahoma" w:cs="Tahoma"/>
          <w:sz w:val="22"/>
          <w:szCs w:val="22"/>
        </w:rPr>
        <w:t>πασχολούμενοι αναμένεται να θέσουν εαυτόν σε κατάσταση αργίας, ενισχύοντας έμμεσα τον άτυπο τομέα της οικονομίας.</w:t>
      </w:r>
    </w:p>
    <w:p w:rsidR="00BE45C5" w:rsidRPr="00BE45C5" w:rsidRDefault="003F46F5" w:rsidP="0064755D">
      <w:pPr>
        <w:pStyle w:val="aa"/>
        <w:numPr>
          <w:ilvl w:val="0"/>
          <w:numId w:val="1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EB2C7D">
        <w:rPr>
          <w:rFonts w:ascii="Tahoma" w:hAnsi="Tahoma" w:cs="Tahoma"/>
          <w:sz w:val="22"/>
          <w:szCs w:val="22"/>
        </w:rPr>
        <w:t xml:space="preserve">Είναι σαφές  ότι η οριακή αποκλιμάκωση της ανεργίας που σημειώθηκε τους προηγούμενους μήνες (ΕΛΣΤΑΤ,  25%,  Μάιος 2015, μηνιαία στοιχεία) δεν φαίνεται να συνεχίζεται στο δεύτερο εξάμηνο του 2015. </w:t>
      </w:r>
      <w:r w:rsidR="00EB2C7D" w:rsidRPr="00EB2C7D">
        <w:rPr>
          <w:rFonts w:ascii="Tahoma" w:hAnsi="Tahoma" w:cs="Tahoma"/>
          <w:sz w:val="22"/>
          <w:szCs w:val="22"/>
        </w:rPr>
        <w:t xml:space="preserve">Τα ευρήματα από τις στατιστικές προβολές του ΙΜΕ-ΓΣΕΒΕΕ για το επόμενο εξάμηνο είναι ιδιαίτερα ανησυχητικά, καθώς το ισοζύγιο προσλήψεων-απολύσεων θα τείνει να γίνει αρνητικό, άρα και οι προοπτικές μείωσης της ανεργίας είναι περιορισμένες. </w:t>
      </w:r>
      <w:r w:rsidR="00EB2C7D" w:rsidRPr="00BE45C5">
        <w:rPr>
          <w:rFonts w:ascii="Tahoma" w:hAnsi="Tahoma" w:cs="Tahoma"/>
          <w:b/>
          <w:sz w:val="22"/>
          <w:szCs w:val="22"/>
        </w:rPr>
        <w:t>Πάνω από 1 στις 5 επιχειρήσεις  θεωρεί πιθανό ότι θα απολύσει προσωπικό το επόμενο εξάμηνο. Το ποσοστό αυτό είναι αυξημένο στις επιχειρήσεις που απ</w:t>
      </w:r>
      <w:r w:rsidR="0067616A" w:rsidRPr="00BE45C5">
        <w:rPr>
          <w:rFonts w:ascii="Tahoma" w:hAnsi="Tahoma" w:cs="Tahoma"/>
          <w:b/>
          <w:sz w:val="22"/>
          <w:szCs w:val="22"/>
        </w:rPr>
        <w:t>ασχολούν πάνω από 5 άτομα (40,2</w:t>
      </w:r>
      <w:r w:rsidR="00EB2C7D" w:rsidRPr="00BE45C5">
        <w:rPr>
          <w:rFonts w:ascii="Tahoma" w:hAnsi="Tahoma" w:cs="Tahoma"/>
          <w:b/>
          <w:sz w:val="22"/>
          <w:szCs w:val="22"/>
        </w:rPr>
        <w:t>%</w:t>
      </w:r>
      <w:r w:rsidR="0067616A" w:rsidRPr="00BE45C5">
        <w:rPr>
          <w:rFonts w:ascii="Tahoma" w:hAnsi="Tahoma" w:cs="Tahoma"/>
          <w:b/>
          <w:sz w:val="22"/>
          <w:szCs w:val="22"/>
        </w:rPr>
        <w:t>)</w:t>
      </w:r>
      <w:r w:rsidR="00EB2C7D" w:rsidRPr="00BE45C5">
        <w:rPr>
          <w:rFonts w:ascii="Tahoma" w:hAnsi="Tahoma" w:cs="Tahoma"/>
          <w:b/>
          <w:sz w:val="22"/>
          <w:szCs w:val="22"/>
        </w:rPr>
        <w:t>.</w:t>
      </w:r>
      <w:r w:rsidR="00EB2C7D" w:rsidRPr="00EB2C7D">
        <w:rPr>
          <w:rFonts w:ascii="Tahoma" w:hAnsi="Tahoma" w:cs="Tahoma"/>
          <w:sz w:val="22"/>
          <w:szCs w:val="22"/>
        </w:rPr>
        <w:t xml:space="preserve"> Εάν επαληθευτούν οι εκτιμήσεις του ΙΜΕ-ΓΣΕΒΕΕ τότε υπάρχει κίνδυνος απώλειας </w:t>
      </w:r>
      <w:r w:rsidR="006250C8">
        <w:rPr>
          <w:rFonts w:ascii="Tahoma" w:hAnsi="Tahoma" w:cs="Tahoma"/>
          <w:sz w:val="22"/>
          <w:szCs w:val="22"/>
        </w:rPr>
        <w:t xml:space="preserve">55,000 </w:t>
      </w:r>
      <w:r w:rsidR="00EB2C7D" w:rsidRPr="00EB2C7D">
        <w:rPr>
          <w:rFonts w:ascii="Tahoma" w:hAnsi="Tahoma" w:cs="Tahoma"/>
          <w:sz w:val="22"/>
          <w:szCs w:val="22"/>
        </w:rPr>
        <w:t xml:space="preserve">θέσεων μισθωτής απασχόλησης  στο επόμενο εξάμηνο. Συνολικά, αναμένεται να </w:t>
      </w:r>
      <w:proofErr w:type="spellStart"/>
      <w:r w:rsidR="00EB2C7D" w:rsidRPr="00EB2C7D">
        <w:rPr>
          <w:rFonts w:ascii="Tahoma" w:hAnsi="Tahoma" w:cs="Tahoma"/>
          <w:sz w:val="22"/>
          <w:szCs w:val="22"/>
        </w:rPr>
        <w:t>απωλεσθούν</w:t>
      </w:r>
      <w:proofErr w:type="spellEnd"/>
      <w:r w:rsidR="00EB2C7D" w:rsidRPr="00EB2C7D">
        <w:rPr>
          <w:rFonts w:ascii="Tahoma" w:hAnsi="Tahoma" w:cs="Tahoma"/>
          <w:sz w:val="22"/>
          <w:szCs w:val="22"/>
        </w:rPr>
        <w:t xml:space="preserve"> </w:t>
      </w:r>
      <w:r w:rsidR="006250C8">
        <w:rPr>
          <w:rFonts w:ascii="Tahoma" w:hAnsi="Tahoma" w:cs="Tahoma"/>
          <w:sz w:val="22"/>
          <w:szCs w:val="22"/>
        </w:rPr>
        <w:t>138,000</w:t>
      </w:r>
      <w:r w:rsidR="00EB2C7D" w:rsidRPr="00EB2C7D">
        <w:rPr>
          <w:rFonts w:ascii="Tahoma" w:hAnsi="Tahoma" w:cs="Tahoma"/>
          <w:sz w:val="22"/>
          <w:szCs w:val="22"/>
        </w:rPr>
        <w:t xml:space="preserve"> θέσεις απασχόλησης, αν συμπεριλάβουμε και τον αριθμό όσων αναστείλουν την επιχειρηματική δραστηριότητα (εργοδότες</w:t>
      </w:r>
      <w:r w:rsidR="0067616A">
        <w:rPr>
          <w:rFonts w:ascii="Tahoma" w:hAnsi="Tahoma" w:cs="Tahoma"/>
          <w:sz w:val="22"/>
          <w:szCs w:val="22"/>
        </w:rPr>
        <w:t>, αυτοαπασχολούμενοι</w:t>
      </w:r>
      <w:r w:rsidR="00EB2C7D" w:rsidRPr="00EB2C7D">
        <w:rPr>
          <w:rFonts w:ascii="Tahoma" w:hAnsi="Tahoma" w:cs="Tahoma"/>
          <w:sz w:val="22"/>
          <w:szCs w:val="22"/>
        </w:rPr>
        <w:t>).</w:t>
      </w:r>
    </w:p>
    <w:p w:rsidR="00BE45C5" w:rsidRPr="0064755D" w:rsidRDefault="00EB2C7D" w:rsidP="0064755D">
      <w:pPr>
        <w:pStyle w:val="aa"/>
        <w:numPr>
          <w:ilvl w:val="0"/>
          <w:numId w:val="15"/>
        </w:numPr>
        <w:pBdr>
          <w:top w:val="single" w:sz="4" w:space="2" w:color="auto"/>
          <w:left w:val="single" w:sz="4" w:space="4" w:color="auto"/>
          <w:bottom w:val="single" w:sz="4" w:space="1" w:color="auto"/>
          <w:right w:val="single" w:sz="4" w:space="4" w:color="auto"/>
        </w:pBdr>
        <w:ind w:left="426" w:hanging="426"/>
        <w:jc w:val="both"/>
        <w:rPr>
          <w:rFonts w:ascii="Tahoma" w:hAnsi="Tahoma" w:cs="Tahoma"/>
          <w:sz w:val="22"/>
          <w:szCs w:val="22"/>
        </w:rPr>
      </w:pPr>
      <w:r w:rsidRPr="00EB2C7D">
        <w:rPr>
          <w:rFonts w:ascii="Tahoma" w:hAnsi="Tahoma" w:cs="Tahoma"/>
          <w:sz w:val="22"/>
          <w:szCs w:val="22"/>
        </w:rPr>
        <w:t>Το στοιχείο που παρουσιάζεται σταθερά επαναληπτικά στην έρευνα κλίματος είναι η δυσκολία που αντιμετωπίζουν οι μικρομεσαίες επιχειρήσεις στην έγκαιρη καταβολή των μισθών. Το 43% των επιχειρήσεων παρουσιάζει αυτό το πρόβλημα χωρίς</w:t>
      </w:r>
      <w:r w:rsidR="00A07518">
        <w:rPr>
          <w:rFonts w:ascii="Tahoma" w:hAnsi="Tahoma" w:cs="Tahoma"/>
          <w:sz w:val="22"/>
          <w:szCs w:val="22"/>
        </w:rPr>
        <w:t xml:space="preserve"> κάποια </w:t>
      </w:r>
      <w:r w:rsidR="00A07518" w:rsidRPr="007A6E12">
        <w:rPr>
          <w:rFonts w:ascii="Tahoma" w:hAnsi="Tahoma" w:cs="Tahoma"/>
          <w:sz w:val="22"/>
          <w:szCs w:val="22"/>
        </w:rPr>
        <w:t xml:space="preserve">τάση εκτόνωσης και </w:t>
      </w:r>
      <w:r w:rsidRPr="007A6E12">
        <w:rPr>
          <w:rFonts w:ascii="Tahoma" w:hAnsi="Tahoma" w:cs="Tahoma"/>
          <w:sz w:val="22"/>
          <w:szCs w:val="22"/>
        </w:rPr>
        <w:t>1 στις 4</w:t>
      </w:r>
      <w:r w:rsidRPr="00EB2C7D">
        <w:rPr>
          <w:rFonts w:ascii="Tahoma" w:hAnsi="Tahoma" w:cs="Tahoma"/>
          <w:sz w:val="22"/>
          <w:szCs w:val="22"/>
        </w:rPr>
        <w:t xml:space="preserve"> επιχειρήσεις δήλωσαν ότι έχουν μειώσει τις αποδοχές των υπαλλήλων στο προηγούμενο εξάμηνο. Παραμένει, αν και μειούμενο (39% έναντι 43%), το καθεστώς εφαρμογής ευέλικτων μορφών απασχόλησης. Μάλιστα, </w:t>
      </w:r>
      <w:r w:rsidRPr="00BE45C5">
        <w:rPr>
          <w:rFonts w:ascii="Tahoma" w:hAnsi="Tahoma" w:cs="Tahoma"/>
          <w:b/>
          <w:sz w:val="22"/>
          <w:szCs w:val="22"/>
        </w:rPr>
        <w:t xml:space="preserve">το 41,1% των επιχειρήσεων δηλώνει ότι είναι πολύ πιθανό να </w:t>
      </w:r>
      <w:r w:rsidRPr="00BE45C5">
        <w:rPr>
          <w:rFonts w:ascii="Tahoma" w:hAnsi="Tahoma" w:cs="Tahoma"/>
          <w:b/>
          <w:sz w:val="22"/>
          <w:szCs w:val="22"/>
        </w:rPr>
        <w:lastRenderedPageBreak/>
        <w:t>μειώσει μισθούς ή ώρες εργασίας στο επόμενο εξάμηνο.</w:t>
      </w:r>
      <w:r w:rsidRPr="00EB2C7D">
        <w:rPr>
          <w:rFonts w:ascii="Tahoma" w:hAnsi="Tahoma" w:cs="Tahoma"/>
          <w:sz w:val="22"/>
          <w:szCs w:val="22"/>
        </w:rPr>
        <w:t xml:space="preserve"> Δεδομένης της έλλειψης προοπτικής για αύξηση της ζήτησης και των επενδύσεων, η πρακτική αυτή θα συνεχίσει να αποτελεί λύση ανάγκης για τις επιχειρήσεις.</w:t>
      </w:r>
    </w:p>
    <w:p w:rsidR="0064755D" w:rsidRDefault="0064755D"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p>
    <w:p w:rsidR="0064755D" w:rsidRDefault="0064755D"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p>
    <w:p w:rsidR="0064755D" w:rsidRDefault="00512E98"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r w:rsidRPr="002105DE">
        <w:rPr>
          <w:rFonts w:ascii="Tahoma" w:hAnsi="Tahoma" w:cs="Tahoma"/>
          <w:b/>
          <w:sz w:val="22"/>
          <w:szCs w:val="22"/>
        </w:rPr>
        <w:t>Ε</w:t>
      </w:r>
      <w:r w:rsidR="00E63193" w:rsidRPr="002105DE">
        <w:rPr>
          <w:rFonts w:ascii="Tahoma" w:hAnsi="Tahoma" w:cs="Tahoma"/>
          <w:b/>
          <w:sz w:val="22"/>
          <w:szCs w:val="22"/>
        </w:rPr>
        <w:t xml:space="preserve">. </w:t>
      </w:r>
      <w:r w:rsidR="00202EA2" w:rsidRPr="002105DE">
        <w:rPr>
          <w:rFonts w:ascii="Tahoma" w:hAnsi="Tahoma" w:cs="Tahoma"/>
          <w:b/>
          <w:sz w:val="22"/>
          <w:szCs w:val="22"/>
        </w:rPr>
        <w:t>ΕΙΔΙΚΑ ΘΕΜΑΤΑ ΜΙΚΡΩΝ ΕΠΙΧΕΙΡΗΣΕΩΝ</w:t>
      </w:r>
      <w:r w:rsidR="00C242C6" w:rsidRPr="002105DE">
        <w:rPr>
          <w:rFonts w:ascii="Tahoma" w:hAnsi="Tahoma" w:cs="Tahoma"/>
          <w:b/>
          <w:sz w:val="22"/>
          <w:szCs w:val="22"/>
        </w:rPr>
        <w:t>- ΕΠΙΠΤΩΣΕΙΣ ΚΕΦΑΛΑΙΑΚΩΝ ΕΛΕΓΧΩΝ</w:t>
      </w:r>
    </w:p>
    <w:p w:rsidR="0064755D" w:rsidRDefault="0064755D" w:rsidP="0064755D">
      <w:pPr>
        <w:pStyle w:val="aa"/>
        <w:pBdr>
          <w:top w:val="single" w:sz="4" w:space="2" w:color="auto"/>
          <w:left w:val="single" w:sz="4" w:space="4" w:color="auto"/>
          <w:bottom w:val="single" w:sz="4" w:space="1" w:color="auto"/>
          <w:right w:val="single" w:sz="4" w:space="4" w:color="auto"/>
        </w:pBdr>
        <w:ind w:left="0"/>
        <w:jc w:val="both"/>
        <w:rPr>
          <w:rFonts w:ascii="Tahoma" w:hAnsi="Tahoma" w:cs="Tahoma"/>
          <w:b/>
          <w:sz w:val="22"/>
          <w:szCs w:val="22"/>
        </w:rPr>
      </w:pPr>
    </w:p>
    <w:p w:rsidR="0064755D" w:rsidRPr="0064755D" w:rsidRDefault="002105DE" w:rsidP="0064755D">
      <w:pPr>
        <w:pStyle w:val="aa"/>
        <w:numPr>
          <w:ilvl w:val="0"/>
          <w:numId w:val="19"/>
        </w:numPr>
        <w:pBdr>
          <w:top w:val="single" w:sz="4" w:space="2" w:color="auto"/>
          <w:left w:val="single" w:sz="4" w:space="4" w:color="auto"/>
          <w:bottom w:val="single" w:sz="4" w:space="1" w:color="auto"/>
          <w:right w:val="single" w:sz="4" w:space="4" w:color="auto"/>
        </w:pBdr>
        <w:ind w:left="426" w:hanging="426"/>
        <w:jc w:val="both"/>
        <w:rPr>
          <w:rFonts w:ascii="Tahoma" w:hAnsi="Tahoma" w:cs="Tahoma"/>
          <w:b/>
          <w:sz w:val="22"/>
          <w:szCs w:val="22"/>
        </w:rPr>
      </w:pPr>
      <w:r w:rsidRPr="0064755D">
        <w:rPr>
          <w:rFonts w:ascii="Tahoma" w:hAnsi="Tahoma" w:cs="Tahoma"/>
          <w:sz w:val="22"/>
          <w:szCs w:val="22"/>
        </w:rPr>
        <w:t>Οι επιπτώσεις από την επιβολή κεφαλαιακών ελέγχων ήταν ιδιαίτερα οδυνηρές</w:t>
      </w:r>
      <w:r w:rsidRPr="0064755D">
        <w:rPr>
          <w:rFonts w:ascii="Tahoma" w:hAnsi="Tahoma" w:cs="Tahoma"/>
          <w:b/>
          <w:sz w:val="22"/>
          <w:szCs w:val="22"/>
        </w:rPr>
        <w:t>.  Κάθετη πτώση στο κύκλο εργασιών τους λόγω της επιβολής κεφαλαιακών έλεγχων (</w:t>
      </w:r>
      <w:proofErr w:type="spellStart"/>
      <w:r w:rsidRPr="0064755D">
        <w:rPr>
          <w:rFonts w:ascii="Tahoma" w:hAnsi="Tahoma" w:cs="Tahoma"/>
          <w:b/>
          <w:sz w:val="22"/>
          <w:szCs w:val="22"/>
        </w:rPr>
        <w:t>capital</w:t>
      </w:r>
      <w:proofErr w:type="spellEnd"/>
      <w:r w:rsidRPr="0064755D">
        <w:rPr>
          <w:rFonts w:ascii="Tahoma" w:hAnsi="Tahoma" w:cs="Tahoma"/>
          <w:b/>
          <w:sz w:val="22"/>
          <w:szCs w:val="22"/>
        </w:rPr>
        <w:t xml:space="preserve"> </w:t>
      </w:r>
      <w:proofErr w:type="spellStart"/>
      <w:r w:rsidRPr="0064755D">
        <w:rPr>
          <w:rFonts w:ascii="Tahoma" w:hAnsi="Tahoma" w:cs="Tahoma"/>
          <w:b/>
          <w:sz w:val="22"/>
          <w:szCs w:val="22"/>
        </w:rPr>
        <w:t>controls</w:t>
      </w:r>
      <w:proofErr w:type="spellEnd"/>
      <w:r w:rsidRPr="0064755D">
        <w:rPr>
          <w:rFonts w:ascii="Tahoma" w:hAnsi="Tahoma" w:cs="Tahoma"/>
          <w:b/>
          <w:sz w:val="22"/>
          <w:szCs w:val="22"/>
        </w:rPr>
        <w:t>) σημείωσαν 9 στις 10 επιχειρήσεις</w:t>
      </w:r>
      <w:r w:rsidRPr="0064755D">
        <w:rPr>
          <w:rFonts w:ascii="Tahoma" w:hAnsi="Tahoma" w:cs="Tahoma"/>
          <w:sz w:val="22"/>
          <w:szCs w:val="22"/>
        </w:rPr>
        <w:t xml:space="preserve">.  3 στις 10 επιχειρήσεις σημείωσαν μείωση πάνω από 70% ενώ συνολικά για τις επιχειρήσεις η μείωση του κύκλου εργασιών ήταν </w:t>
      </w:r>
      <w:proofErr w:type="spellStart"/>
      <w:r w:rsidRPr="0064755D">
        <w:rPr>
          <w:rFonts w:ascii="Tahoma" w:hAnsi="Tahoma" w:cs="Tahoma"/>
          <w:sz w:val="22"/>
          <w:szCs w:val="22"/>
        </w:rPr>
        <w:t>μεσοσταθμικά</w:t>
      </w:r>
      <w:proofErr w:type="spellEnd"/>
      <w:r w:rsidRPr="0064755D">
        <w:rPr>
          <w:rFonts w:ascii="Tahoma" w:hAnsi="Tahoma" w:cs="Tahoma"/>
          <w:sz w:val="22"/>
          <w:szCs w:val="22"/>
        </w:rPr>
        <w:t xml:space="preserve"> 48%. Άμεση συνέπεια ήταν η συρρίκνωση της κατανάλωσης κατά 50% ή κατά 3,8 δισ. € κατά το διάστημα αυτό. Με μια μετριοπαθή εκτίμηση υπολογίζεται ότι από αυτή την μείωση το ελληνικό δημόσιο έχασε 570 εκ. ευρώ από έμμεσους φόρους.</w:t>
      </w:r>
    </w:p>
    <w:p w:rsidR="0064755D" w:rsidRPr="0064755D" w:rsidRDefault="002105DE" w:rsidP="0064755D">
      <w:pPr>
        <w:pStyle w:val="aa"/>
        <w:numPr>
          <w:ilvl w:val="0"/>
          <w:numId w:val="19"/>
        </w:numPr>
        <w:pBdr>
          <w:top w:val="single" w:sz="4" w:space="2" w:color="auto"/>
          <w:left w:val="single" w:sz="4" w:space="4" w:color="auto"/>
          <w:bottom w:val="single" w:sz="4" w:space="1" w:color="auto"/>
          <w:right w:val="single" w:sz="4" w:space="4" w:color="auto"/>
        </w:pBdr>
        <w:ind w:left="426" w:hanging="426"/>
        <w:jc w:val="both"/>
        <w:rPr>
          <w:rFonts w:ascii="Tahoma" w:hAnsi="Tahoma" w:cs="Tahoma"/>
          <w:b/>
          <w:sz w:val="22"/>
          <w:szCs w:val="22"/>
        </w:rPr>
      </w:pPr>
      <w:r w:rsidRPr="0064755D">
        <w:rPr>
          <w:rFonts w:ascii="Tahoma" w:hAnsi="Tahoma" w:cs="Tahoma"/>
          <w:b/>
          <w:sz w:val="22"/>
          <w:szCs w:val="22"/>
        </w:rPr>
        <w:t xml:space="preserve">Οι μικρές επιχειρήσεις ήταν απροετοίμαστες να αντιμετωπίσουν τις επιπτώσεις από την επιβολή των </w:t>
      </w:r>
      <w:proofErr w:type="spellStart"/>
      <w:r w:rsidRPr="0064755D">
        <w:rPr>
          <w:rFonts w:ascii="Tahoma" w:hAnsi="Tahoma" w:cs="Tahoma"/>
          <w:b/>
          <w:sz w:val="22"/>
          <w:szCs w:val="22"/>
        </w:rPr>
        <w:t>capital</w:t>
      </w:r>
      <w:proofErr w:type="spellEnd"/>
      <w:r w:rsidRPr="0064755D">
        <w:rPr>
          <w:rFonts w:ascii="Tahoma" w:hAnsi="Tahoma" w:cs="Tahoma"/>
          <w:b/>
          <w:sz w:val="22"/>
          <w:szCs w:val="22"/>
        </w:rPr>
        <w:t xml:space="preserve"> </w:t>
      </w:r>
      <w:proofErr w:type="spellStart"/>
      <w:r w:rsidRPr="0064755D">
        <w:rPr>
          <w:rFonts w:ascii="Tahoma" w:hAnsi="Tahoma" w:cs="Tahoma"/>
          <w:b/>
          <w:sz w:val="22"/>
          <w:szCs w:val="22"/>
        </w:rPr>
        <w:t>controls</w:t>
      </w:r>
      <w:proofErr w:type="spellEnd"/>
      <w:r w:rsidRPr="0064755D">
        <w:rPr>
          <w:rFonts w:ascii="Tahoma" w:hAnsi="Tahoma" w:cs="Tahoma"/>
          <w:b/>
          <w:sz w:val="22"/>
          <w:szCs w:val="22"/>
        </w:rPr>
        <w:t xml:space="preserve"> και το κλείσιμο των τραπεζών</w:t>
      </w:r>
      <w:r w:rsidRPr="0064755D">
        <w:rPr>
          <w:rFonts w:ascii="Tahoma" w:hAnsi="Tahoma" w:cs="Tahoma"/>
          <w:sz w:val="22"/>
          <w:szCs w:val="22"/>
        </w:rPr>
        <w:t>. Πιο συγκεκριμένα μόνο 1 στις 2 επιχειρήσεις  χρησιμοποιεί e-</w:t>
      </w:r>
      <w:proofErr w:type="spellStart"/>
      <w:r w:rsidRPr="0064755D">
        <w:rPr>
          <w:rFonts w:ascii="Tahoma" w:hAnsi="Tahoma" w:cs="Tahoma"/>
          <w:sz w:val="22"/>
          <w:szCs w:val="22"/>
        </w:rPr>
        <w:t>banking</w:t>
      </w:r>
      <w:proofErr w:type="spellEnd"/>
      <w:r w:rsidRPr="0064755D">
        <w:rPr>
          <w:rFonts w:ascii="Tahoma" w:hAnsi="Tahoma" w:cs="Tahoma"/>
          <w:sz w:val="22"/>
          <w:szCs w:val="22"/>
        </w:rPr>
        <w:t xml:space="preserve"> για τις συναλλαγές της με πελάτες και προμηθευτές, ενώ 7 στις 10 δεν διαθέτουν συσκευές  EFT/POS προκειμένου να πραγματοποιούν συναλλαγές με πιστωτικές, χρεωστικ</w:t>
      </w:r>
      <w:r w:rsidR="0067616A" w:rsidRPr="0064755D">
        <w:rPr>
          <w:rFonts w:ascii="Tahoma" w:hAnsi="Tahoma" w:cs="Tahoma"/>
          <w:sz w:val="22"/>
          <w:szCs w:val="22"/>
        </w:rPr>
        <w:t>ές και προπληρωμένες κάρτες</w:t>
      </w:r>
      <w:r w:rsidRPr="0064755D">
        <w:rPr>
          <w:rFonts w:ascii="Tahoma" w:hAnsi="Tahoma" w:cs="Tahoma"/>
          <w:sz w:val="22"/>
          <w:szCs w:val="22"/>
        </w:rPr>
        <w:t>. Εκτιμάται ότι το υψηλό κόστος αγοράς των μηχανών, αλλά και το υψηλό αναλογικό κόστος προμήθειας επί του τζίρου απέτρεψε τις μικρές επιχειρήσεις από</w:t>
      </w:r>
      <w:r w:rsidR="0059229F" w:rsidRPr="0064755D">
        <w:rPr>
          <w:rFonts w:ascii="Tahoma" w:hAnsi="Tahoma" w:cs="Tahoma"/>
          <w:sz w:val="22"/>
          <w:szCs w:val="22"/>
        </w:rPr>
        <w:t xml:space="preserve"> την έγκαιρη προσαρμογή </w:t>
      </w:r>
      <w:r w:rsidR="0067616A" w:rsidRPr="0064755D">
        <w:rPr>
          <w:rFonts w:ascii="Tahoma" w:hAnsi="Tahoma" w:cs="Tahoma"/>
          <w:sz w:val="22"/>
          <w:szCs w:val="22"/>
        </w:rPr>
        <w:t>τους στη νέα ψηφιακή τραπεζική εποχή</w:t>
      </w:r>
      <w:r w:rsidRPr="0064755D">
        <w:rPr>
          <w:rFonts w:ascii="Tahoma" w:hAnsi="Tahoma" w:cs="Tahoma"/>
          <w:sz w:val="22"/>
          <w:szCs w:val="22"/>
        </w:rPr>
        <w:t>.</w:t>
      </w:r>
    </w:p>
    <w:p w:rsidR="0064755D" w:rsidRPr="0064755D" w:rsidRDefault="0064755D" w:rsidP="0064755D">
      <w:pPr>
        <w:pBdr>
          <w:top w:val="single" w:sz="4" w:space="2" w:color="auto"/>
          <w:left w:val="single" w:sz="4" w:space="4" w:color="auto"/>
          <w:bottom w:val="single" w:sz="4" w:space="1" w:color="auto"/>
          <w:right w:val="single" w:sz="4" w:space="4" w:color="auto"/>
        </w:pBdr>
        <w:jc w:val="both"/>
        <w:rPr>
          <w:rFonts w:ascii="Tahoma" w:hAnsi="Tahoma" w:cs="Tahoma"/>
          <w:b/>
          <w:sz w:val="22"/>
          <w:szCs w:val="22"/>
        </w:rPr>
      </w:pPr>
    </w:p>
    <w:p w:rsidR="0064755D" w:rsidRDefault="00512E98" w:rsidP="0064755D">
      <w:pPr>
        <w:pBdr>
          <w:top w:val="single" w:sz="4" w:space="2" w:color="auto"/>
          <w:left w:val="single" w:sz="4" w:space="4" w:color="auto"/>
          <w:bottom w:val="single" w:sz="4" w:space="1" w:color="auto"/>
          <w:right w:val="single" w:sz="4" w:space="4" w:color="auto"/>
        </w:pBdr>
        <w:jc w:val="both"/>
        <w:rPr>
          <w:rFonts w:ascii="Tahoma" w:hAnsi="Tahoma" w:cs="Tahoma"/>
          <w:b/>
          <w:sz w:val="22"/>
          <w:szCs w:val="22"/>
        </w:rPr>
      </w:pPr>
      <w:r w:rsidRPr="0064755D">
        <w:rPr>
          <w:rFonts w:ascii="Tahoma" w:hAnsi="Tahoma" w:cs="Tahoma"/>
          <w:b/>
          <w:sz w:val="22"/>
          <w:szCs w:val="22"/>
        </w:rPr>
        <w:t>ΣΤ. ΕΙΔΙΚΟ ΘΕΜΑ- ΠΟΛΙΤΙΚΗ ΚΑΤΑΣΤΑΣΗ</w:t>
      </w:r>
    </w:p>
    <w:p w:rsidR="0064755D" w:rsidRDefault="0064755D" w:rsidP="0064755D">
      <w:pPr>
        <w:pBdr>
          <w:top w:val="single" w:sz="4" w:space="2" w:color="auto"/>
          <w:left w:val="single" w:sz="4" w:space="4" w:color="auto"/>
          <w:bottom w:val="single" w:sz="4" w:space="1" w:color="auto"/>
          <w:right w:val="single" w:sz="4" w:space="4" w:color="auto"/>
        </w:pBdr>
        <w:jc w:val="both"/>
        <w:rPr>
          <w:rFonts w:ascii="Tahoma" w:hAnsi="Tahoma" w:cs="Tahoma"/>
          <w:b/>
          <w:sz w:val="22"/>
          <w:szCs w:val="22"/>
        </w:rPr>
      </w:pPr>
    </w:p>
    <w:p w:rsidR="0064755D" w:rsidRPr="0064755D" w:rsidRDefault="00CB72AC" w:rsidP="0064755D">
      <w:pPr>
        <w:pStyle w:val="aa"/>
        <w:numPr>
          <w:ilvl w:val="0"/>
          <w:numId w:val="28"/>
        </w:numPr>
        <w:pBdr>
          <w:top w:val="single" w:sz="4" w:space="2" w:color="auto"/>
          <w:left w:val="single" w:sz="4" w:space="4" w:color="auto"/>
          <w:bottom w:val="single" w:sz="4" w:space="1" w:color="auto"/>
          <w:right w:val="single" w:sz="4" w:space="4" w:color="auto"/>
        </w:pBdr>
        <w:ind w:left="426" w:hanging="426"/>
        <w:jc w:val="both"/>
        <w:rPr>
          <w:rFonts w:ascii="Tahoma" w:hAnsi="Tahoma" w:cs="Tahoma"/>
          <w:b/>
          <w:sz w:val="22"/>
          <w:szCs w:val="22"/>
        </w:rPr>
      </w:pPr>
      <w:r w:rsidRPr="0064755D">
        <w:rPr>
          <w:rFonts w:ascii="Tahoma" w:hAnsi="Tahoma" w:cs="Tahoma"/>
          <w:sz w:val="22"/>
          <w:szCs w:val="22"/>
        </w:rPr>
        <w:t>Αδιαπραγμάτευτη φαίνεται να είναι η θέση της χώρας στο σκληρό νόμισμα, παρά τα αρνητικά στοιχεία που επιφέρει η νέα δυσμενής συμφωνία για τη χώρα. Η συντριπτική πλειο</w:t>
      </w:r>
      <w:r w:rsidR="00F51C4C">
        <w:rPr>
          <w:rFonts w:ascii="Tahoma" w:hAnsi="Tahoma" w:cs="Tahoma"/>
          <w:sz w:val="22"/>
          <w:szCs w:val="22"/>
        </w:rPr>
        <w:t>ψηφία των ερωτώμενων</w:t>
      </w:r>
      <w:r w:rsidRPr="0064755D">
        <w:rPr>
          <w:rFonts w:ascii="Tahoma" w:hAnsi="Tahoma" w:cs="Tahoma"/>
          <w:sz w:val="22"/>
          <w:szCs w:val="22"/>
        </w:rPr>
        <w:t xml:space="preserve"> θεωρεί ότι η χώρα πρέπει να παραμείνει στο ευρώ (71,7%).</w:t>
      </w:r>
    </w:p>
    <w:p w:rsidR="0067616A" w:rsidRPr="0064755D" w:rsidRDefault="00CB72AC" w:rsidP="0064755D">
      <w:pPr>
        <w:pStyle w:val="aa"/>
        <w:numPr>
          <w:ilvl w:val="0"/>
          <w:numId w:val="28"/>
        </w:numPr>
        <w:pBdr>
          <w:top w:val="single" w:sz="4" w:space="2" w:color="auto"/>
          <w:left w:val="single" w:sz="4" w:space="4" w:color="auto"/>
          <w:bottom w:val="single" w:sz="4" w:space="1" w:color="auto"/>
          <w:right w:val="single" w:sz="4" w:space="4" w:color="auto"/>
        </w:pBdr>
        <w:ind w:left="426" w:hanging="426"/>
        <w:jc w:val="both"/>
        <w:rPr>
          <w:rFonts w:ascii="Tahoma" w:hAnsi="Tahoma" w:cs="Tahoma"/>
          <w:b/>
          <w:sz w:val="22"/>
          <w:szCs w:val="22"/>
        </w:rPr>
      </w:pPr>
      <w:r w:rsidRPr="0064755D">
        <w:rPr>
          <w:rFonts w:ascii="Tahoma" w:hAnsi="Tahoma" w:cs="Tahoma"/>
          <w:sz w:val="22"/>
          <w:szCs w:val="22"/>
        </w:rPr>
        <w:t xml:space="preserve">Αρκετά επιφυλακτικός και διχασμένος εμφανίζεται ο επιχειρηματικός κόσμος από τις πολιτικές διεργασίες και τη νέα εκλογική μάχη, ο νικητής της οποίας θα κληθεί να διαχειριστεί το τρίτο μνημόνιο. </w:t>
      </w:r>
      <w:r w:rsidR="0067616A" w:rsidRPr="0064755D">
        <w:rPr>
          <w:rFonts w:ascii="Tahoma" w:hAnsi="Tahoma" w:cs="Tahoma"/>
          <w:sz w:val="22"/>
          <w:szCs w:val="22"/>
        </w:rPr>
        <w:t>Σχετικά με την πολιτική</w:t>
      </w:r>
      <w:r w:rsidR="003F46F5" w:rsidRPr="0064755D">
        <w:rPr>
          <w:rFonts w:ascii="Tahoma" w:hAnsi="Tahoma" w:cs="Tahoma"/>
          <w:sz w:val="22"/>
          <w:szCs w:val="22"/>
        </w:rPr>
        <w:t xml:space="preserve"> τους</w:t>
      </w:r>
      <w:r w:rsidR="0067616A" w:rsidRPr="0064755D">
        <w:rPr>
          <w:rFonts w:ascii="Tahoma" w:hAnsi="Tahoma" w:cs="Tahoma"/>
          <w:sz w:val="22"/>
          <w:szCs w:val="22"/>
        </w:rPr>
        <w:t xml:space="preserve"> εκπροσώπηση, πάνω από 1 στις 2 (56,5%) επιχειρήσεις θεωρούν ότι δεν εκφράζει τα συμφέροντά τους κανένας υφιστάμενος πολιτικός σχηματισμός.</w:t>
      </w:r>
    </w:p>
    <w:p w:rsidR="005A474C" w:rsidRDefault="005A474C" w:rsidP="00A05F2C">
      <w:pPr>
        <w:jc w:val="both"/>
        <w:rPr>
          <w:rFonts w:ascii="Tahoma" w:hAnsi="Tahoma" w:cs="Tahoma"/>
          <w:sz w:val="20"/>
          <w:szCs w:val="20"/>
        </w:rPr>
      </w:pPr>
    </w:p>
    <w:p w:rsidR="00C02A62" w:rsidRPr="00E131A2" w:rsidRDefault="004F3707" w:rsidP="00A05F2C">
      <w:pPr>
        <w:jc w:val="both"/>
        <w:rPr>
          <w:rFonts w:ascii="Tahoma" w:hAnsi="Tahoma" w:cs="Tahoma"/>
          <w:b/>
          <w:i/>
          <w:sz w:val="20"/>
          <w:szCs w:val="20"/>
        </w:rPr>
      </w:pPr>
      <w:r>
        <w:rPr>
          <w:rFonts w:ascii="Tahoma" w:hAnsi="Tahoma" w:cs="Tahoma"/>
          <w:sz w:val="20"/>
          <w:szCs w:val="20"/>
        </w:rPr>
        <w:t xml:space="preserve">* </w:t>
      </w:r>
      <w:r w:rsidR="00C02A62" w:rsidRPr="00E131A2">
        <w:rPr>
          <w:rFonts w:ascii="Tahoma" w:hAnsi="Tahoma" w:cs="Tahoma"/>
          <w:i/>
          <w:sz w:val="20"/>
          <w:szCs w:val="20"/>
        </w:rPr>
        <w:t xml:space="preserve">Η έρευνα που παρουσιάζεται είναι η </w:t>
      </w:r>
      <w:r w:rsidR="00B81B3E">
        <w:rPr>
          <w:rFonts w:ascii="Tahoma" w:hAnsi="Tahoma" w:cs="Tahoma"/>
          <w:b/>
          <w:i/>
          <w:sz w:val="20"/>
          <w:szCs w:val="20"/>
        </w:rPr>
        <w:t>δεύτερη</w:t>
      </w:r>
      <w:r w:rsidR="004B04BD">
        <w:rPr>
          <w:rFonts w:ascii="Tahoma" w:hAnsi="Tahoma" w:cs="Tahoma"/>
          <w:b/>
          <w:i/>
          <w:sz w:val="20"/>
          <w:szCs w:val="20"/>
        </w:rPr>
        <w:t xml:space="preserve"> </w:t>
      </w:r>
      <w:r w:rsidR="00C02A62" w:rsidRPr="00E131A2">
        <w:rPr>
          <w:rFonts w:ascii="Tahoma" w:hAnsi="Tahoma" w:cs="Tahoma"/>
          <w:b/>
          <w:i/>
          <w:sz w:val="20"/>
          <w:szCs w:val="20"/>
        </w:rPr>
        <w:t xml:space="preserve"> </w:t>
      </w:r>
      <w:r w:rsidR="004B04BD">
        <w:rPr>
          <w:rFonts w:ascii="Tahoma" w:hAnsi="Tahoma" w:cs="Tahoma"/>
          <w:i/>
          <w:sz w:val="20"/>
          <w:szCs w:val="20"/>
        </w:rPr>
        <w:t>για το 2015</w:t>
      </w:r>
      <w:r w:rsidR="00C02A62" w:rsidRPr="00E131A2">
        <w:rPr>
          <w:rFonts w:ascii="Tahoma" w:hAnsi="Tahoma" w:cs="Tahoma"/>
          <w:i/>
          <w:sz w:val="20"/>
          <w:szCs w:val="20"/>
        </w:rPr>
        <w:t xml:space="preserve"> που διεξάγει το Ινστιτούτο Μικρών Επιχειρήσεων της ΓΣΕΒΕΕ σε συνεργασία με την εταιρία </w:t>
      </w:r>
      <w:r w:rsidR="00C02A62" w:rsidRPr="00E131A2">
        <w:rPr>
          <w:rFonts w:ascii="Tahoma" w:hAnsi="Tahoma" w:cs="Tahoma"/>
          <w:i/>
          <w:sz w:val="20"/>
          <w:szCs w:val="20"/>
          <w:lang w:val="en-US"/>
        </w:rPr>
        <w:t>MARC</w:t>
      </w:r>
      <w:r w:rsidR="00C02A62" w:rsidRPr="00E131A2">
        <w:rPr>
          <w:rFonts w:ascii="Tahoma" w:hAnsi="Tahoma" w:cs="Tahoma"/>
          <w:i/>
          <w:sz w:val="20"/>
          <w:szCs w:val="20"/>
        </w:rPr>
        <w:t xml:space="preserve"> </w:t>
      </w:r>
      <w:r w:rsidR="00C02A62" w:rsidRPr="00E131A2">
        <w:rPr>
          <w:rFonts w:ascii="Tahoma" w:hAnsi="Tahoma" w:cs="Tahoma"/>
          <w:i/>
          <w:sz w:val="20"/>
          <w:szCs w:val="20"/>
          <w:lang w:val="en-US"/>
        </w:rPr>
        <w:t>AE</w:t>
      </w:r>
      <w:r w:rsidR="00C02A62" w:rsidRPr="00E131A2">
        <w:rPr>
          <w:rFonts w:ascii="Tahoma" w:hAnsi="Tahoma" w:cs="Tahoma"/>
          <w:i/>
          <w:sz w:val="20"/>
          <w:szCs w:val="20"/>
        </w:rPr>
        <w:t xml:space="preserve"> σε εξαμηνιαία βάση από τον Μάιο του 2009. Έγινε σε πανελλαδικό δείγμα </w:t>
      </w:r>
      <w:r w:rsidR="00C02A62" w:rsidRPr="00E131A2">
        <w:rPr>
          <w:rFonts w:ascii="Tahoma" w:hAnsi="Tahoma" w:cs="Tahoma"/>
          <w:b/>
          <w:i/>
          <w:sz w:val="20"/>
          <w:szCs w:val="20"/>
        </w:rPr>
        <w:t>1</w:t>
      </w:r>
      <w:r w:rsidR="00CE38CF">
        <w:rPr>
          <w:rFonts w:ascii="Tahoma" w:hAnsi="Tahoma" w:cs="Tahoma"/>
          <w:b/>
          <w:i/>
          <w:sz w:val="20"/>
          <w:szCs w:val="20"/>
        </w:rPr>
        <w:t>0</w:t>
      </w:r>
      <w:r w:rsidR="004B04BD">
        <w:rPr>
          <w:rFonts w:ascii="Tahoma" w:hAnsi="Tahoma" w:cs="Tahoma"/>
          <w:b/>
          <w:i/>
          <w:sz w:val="20"/>
          <w:szCs w:val="20"/>
        </w:rPr>
        <w:t>0</w:t>
      </w:r>
      <w:r w:rsidR="00060E23">
        <w:rPr>
          <w:rFonts w:ascii="Tahoma" w:hAnsi="Tahoma" w:cs="Tahoma"/>
          <w:b/>
          <w:i/>
          <w:sz w:val="20"/>
          <w:szCs w:val="20"/>
        </w:rPr>
        <w:t>5</w:t>
      </w:r>
      <w:r w:rsidR="00C02A62" w:rsidRPr="00E131A2">
        <w:rPr>
          <w:rFonts w:ascii="Tahoma" w:hAnsi="Tahoma" w:cs="Tahoma"/>
          <w:i/>
          <w:sz w:val="20"/>
          <w:szCs w:val="20"/>
        </w:rPr>
        <w:t xml:space="preserve"> πολύ μικρών και μικρών επιχειρήσεων (0-49 άτομα προσωπικό), στο διάστημα </w:t>
      </w:r>
      <w:r w:rsidR="004373F1">
        <w:rPr>
          <w:rFonts w:ascii="Tahoma" w:hAnsi="Tahoma" w:cs="Tahoma"/>
          <w:i/>
          <w:sz w:val="20"/>
          <w:szCs w:val="20"/>
        </w:rPr>
        <w:t>21</w:t>
      </w:r>
      <w:r w:rsidR="00CE38CF">
        <w:rPr>
          <w:rFonts w:ascii="Tahoma" w:hAnsi="Tahoma" w:cs="Tahoma"/>
          <w:i/>
          <w:sz w:val="20"/>
          <w:szCs w:val="20"/>
        </w:rPr>
        <w:t xml:space="preserve">  έως </w:t>
      </w:r>
      <w:r w:rsidR="004373F1">
        <w:rPr>
          <w:rFonts w:ascii="Tahoma" w:hAnsi="Tahoma" w:cs="Tahoma"/>
          <w:i/>
          <w:sz w:val="20"/>
          <w:szCs w:val="20"/>
        </w:rPr>
        <w:t>27</w:t>
      </w:r>
      <w:r w:rsidR="00CE38CF">
        <w:rPr>
          <w:rFonts w:ascii="Tahoma" w:hAnsi="Tahoma" w:cs="Tahoma"/>
          <w:i/>
          <w:sz w:val="20"/>
          <w:szCs w:val="20"/>
        </w:rPr>
        <w:t xml:space="preserve"> </w:t>
      </w:r>
      <w:r w:rsidR="00C02A62" w:rsidRPr="00E131A2">
        <w:rPr>
          <w:rFonts w:ascii="Tahoma" w:hAnsi="Tahoma" w:cs="Tahoma"/>
          <w:i/>
          <w:sz w:val="20"/>
          <w:szCs w:val="20"/>
        </w:rPr>
        <w:t xml:space="preserve"> </w:t>
      </w:r>
      <w:r w:rsidR="004373F1">
        <w:rPr>
          <w:rFonts w:ascii="Tahoma" w:hAnsi="Tahoma" w:cs="Tahoma"/>
          <w:i/>
          <w:sz w:val="20"/>
          <w:szCs w:val="20"/>
        </w:rPr>
        <w:t>Ιουλ</w:t>
      </w:r>
      <w:r w:rsidR="006920BD" w:rsidRPr="00E131A2">
        <w:rPr>
          <w:rFonts w:ascii="Tahoma" w:hAnsi="Tahoma" w:cs="Tahoma"/>
          <w:i/>
          <w:sz w:val="20"/>
          <w:szCs w:val="20"/>
        </w:rPr>
        <w:t>ίου</w:t>
      </w:r>
      <w:r w:rsidR="00C02A62" w:rsidRPr="00E131A2">
        <w:rPr>
          <w:rFonts w:ascii="Tahoma" w:hAnsi="Tahoma" w:cs="Tahoma"/>
          <w:i/>
          <w:sz w:val="20"/>
          <w:szCs w:val="20"/>
        </w:rPr>
        <w:t xml:space="preserve"> 201</w:t>
      </w:r>
      <w:r w:rsidR="004B04BD">
        <w:rPr>
          <w:rFonts w:ascii="Tahoma" w:hAnsi="Tahoma" w:cs="Tahoma"/>
          <w:i/>
          <w:sz w:val="20"/>
          <w:szCs w:val="20"/>
        </w:rPr>
        <w:t>5</w:t>
      </w:r>
      <w:r w:rsidR="00C02A62" w:rsidRPr="00E131A2">
        <w:rPr>
          <w:rFonts w:ascii="Tahoma" w:hAnsi="Tahoma" w:cs="Tahoma"/>
          <w:i/>
          <w:sz w:val="20"/>
          <w:szCs w:val="20"/>
        </w:rPr>
        <w:t xml:space="preserve"> και έχει ως βασικό στόχο την </w:t>
      </w:r>
      <w:r w:rsidR="00C02A62" w:rsidRPr="00E131A2">
        <w:rPr>
          <w:rFonts w:ascii="Tahoma" w:hAnsi="Tahoma" w:cs="Tahoma"/>
          <w:b/>
          <w:i/>
          <w:sz w:val="20"/>
          <w:szCs w:val="20"/>
        </w:rPr>
        <w:t>αποτύπωση του οικονομικού κλίματος</w:t>
      </w:r>
      <w:r w:rsidR="00C02A62" w:rsidRPr="00E131A2">
        <w:rPr>
          <w:rFonts w:ascii="Tahoma" w:hAnsi="Tahoma" w:cs="Tahoma"/>
          <w:i/>
          <w:sz w:val="20"/>
          <w:szCs w:val="20"/>
        </w:rPr>
        <w:t xml:space="preserve"> στις πολύ μικρές και μικρές επιχειρήσεις, στους κλάδους της </w:t>
      </w:r>
      <w:r w:rsidR="00C02A62" w:rsidRPr="00E131A2">
        <w:rPr>
          <w:rFonts w:ascii="Tahoma" w:hAnsi="Tahoma" w:cs="Tahoma"/>
          <w:b/>
          <w:i/>
          <w:sz w:val="20"/>
          <w:szCs w:val="20"/>
        </w:rPr>
        <w:t>μεταποίησης</w:t>
      </w:r>
      <w:r w:rsidR="00C02A62" w:rsidRPr="00E131A2">
        <w:rPr>
          <w:rFonts w:ascii="Tahoma" w:hAnsi="Tahoma" w:cs="Tahoma"/>
          <w:i/>
          <w:sz w:val="20"/>
          <w:szCs w:val="20"/>
        </w:rPr>
        <w:t xml:space="preserve">, του </w:t>
      </w:r>
      <w:r w:rsidR="00C02A62" w:rsidRPr="00E131A2">
        <w:rPr>
          <w:rFonts w:ascii="Tahoma" w:hAnsi="Tahoma" w:cs="Tahoma"/>
          <w:b/>
          <w:i/>
          <w:sz w:val="20"/>
          <w:szCs w:val="20"/>
        </w:rPr>
        <w:t>εμπορίου</w:t>
      </w:r>
      <w:r w:rsidR="00C02A62" w:rsidRPr="00E131A2">
        <w:rPr>
          <w:rFonts w:ascii="Tahoma" w:hAnsi="Tahoma" w:cs="Tahoma"/>
          <w:i/>
          <w:sz w:val="20"/>
          <w:szCs w:val="20"/>
        </w:rPr>
        <w:t xml:space="preserve"> και των </w:t>
      </w:r>
      <w:r w:rsidR="00C02A62" w:rsidRPr="00E131A2">
        <w:rPr>
          <w:rFonts w:ascii="Tahoma" w:hAnsi="Tahoma" w:cs="Tahoma"/>
          <w:b/>
          <w:i/>
          <w:sz w:val="20"/>
          <w:szCs w:val="20"/>
        </w:rPr>
        <w:t>υπηρεσιών</w:t>
      </w:r>
      <w:r w:rsidR="00C02A62" w:rsidRPr="00E131A2">
        <w:rPr>
          <w:rFonts w:ascii="Tahoma" w:hAnsi="Tahoma" w:cs="Tahoma"/>
          <w:i/>
          <w:sz w:val="20"/>
          <w:szCs w:val="20"/>
        </w:rPr>
        <w:t xml:space="preserve">, </w:t>
      </w:r>
      <w:r w:rsidR="00C02A62" w:rsidRPr="00E131A2">
        <w:rPr>
          <w:rFonts w:ascii="Tahoma" w:hAnsi="Tahoma" w:cs="Tahoma"/>
          <w:b/>
          <w:i/>
          <w:sz w:val="20"/>
          <w:szCs w:val="20"/>
        </w:rPr>
        <w:t xml:space="preserve">που αποτελούν το 99,6% των επιχειρήσεων στην Ελλάδα. </w:t>
      </w:r>
      <w:r w:rsidR="00A05F2C" w:rsidRPr="00E131A2">
        <w:rPr>
          <w:rFonts w:ascii="Tahoma" w:hAnsi="Tahoma" w:cs="Tahoma"/>
          <w:b/>
          <w:i/>
          <w:sz w:val="20"/>
          <w:szCs w:val="20"/>
        </w:rPr>
        <w:t xml:space="preserve"> </w:t>
      </w:r>
      <w:r w:rsidR="00C02A62" w:rsidRPr="00E131A2">
        <w:rPr>
          <w:rFonts w:ascii="Tahoma" w:hAnsi="Tahoma" w:cs="Tahoma"/>
          <w:i/>
          <w:sz w:val="20"/>
          <w:szCs w:val="20"/>
        </w:rPr>
        <w:t>Τα ευρήματα αυτής της έρευνας μπορούν να συγκριθούν με τα αντίστοιχα των προηγούμενων ερευνών (</w:t>
      </w:r>
      <w:r w:rsidR="004B04BD">
        <w:rPr>
          <w:rFonts w:ascii="Tahoma" w:hAnsi="Tahoma" w:cs="Tahoma"/>
          <w:i/>
          <w:sz w:val="20"/>
          <w:szCs w:val="20"/>
        </w:rPr>
        <w:t>Μάιος 2009</w:t>
      </w:r>
      <w:r w:rsidR="00C02A62" w:rsidRPr="00E131A2">
        <w:rPr>
          <w:rFonts w:ascii="Tahoma" w:hAnsi="Tahoma" w:cs="Tahoma"/>
          <w:i/>
          <w:sz w:val="20"/>
          <w:szCs w:val="20"/>
        </w:rPr>
        <w:t xml:space="preserve"> – </w:t>
      </w:r>
      <w:r w:rsidR="00060E23">
        <w:rPr>
          <w:rFonts w:ascii="Tahoma" w:hAnsi="Tahoma" w:cs="Tahoma"/>
          <w:i/>
          <w:sz w:val="20"/>
          <w:szCs w:val="20"/>
        </w:rPr>
        <w:t>Φεβρουάριος 2015</w:t>
      </w:r>
      <w:r w:rsidR="00C02A62" w:rsidRPr="00E131A2">
        <w:rPr>
          <w:rFonts w:ascii="Tahoma" w:hAnsi="Tahoma" w:cs="Tahoma"/>
          <w:i/>
          <w:sz w:val="20"/>
          <w:szCs w:val="20"/>
        </w:rPr>
        <w:t xml:space="preserve">). </w:t>
      </w:r>
      <w:r w:rsidR="00C02A62" w:rsidRPr="00E131A2">
        <w:rPr>
          <w:rFonts w:ascii="Tahoma" w:hAnsi="Tahoma" w:cs="Tahoma"/>
          <w:b/>
          <w:i/>
          <w:sz w:val="20"/>
          <w:szCs w:val="20"/>
        </w:rPr>
        <w:t xml:space="preserve">Οι έρευνες αυτές αποτελούν το μοναδικό εργαλείο, σε πανελλαδικό επίπεδο, για την καταγραφή της κατάστασης και της πορείας του μεγαλύτερου τμήματος της πραγματικής οικονομίας στην Ελλάδα.  </w:t>
      </w:r>
    </w:p>
    <w:p w:rsidR="00C02A62" w:rsidRPr="00E131A2" w:rsidRDefault="00C02A62" w:rsidP="00C02A62">
      <w:pPr>
        <w:pStyle w:val="Web"/>
        <w:spacing w:before="0" w:beforeAutospacing="0" w:after="0" w:afterAutospacing="0"/>
        <w:jc w:val="both"/>
        <w:rPr>
          <w:rFonts w:ascii="Tahoma" w:hAnsi="Tahoma" w:cs="Tahoma"/>
          <w:b/>
          <w:i/>
          <w:sz w:val="20"/>
          <w:szCs w:val="20"/>
        </w:rPr>
      </w:pPr>
    </w:p>
    <w:p w:rsidR="00C02A62" w:rsidRPr="00E131A2" w:rsidRDefault="00C02A62" w:rsidP="00C02A62">
      <w:pPr>
        <w:pStyle w:val="Web"/>
        <w:spacing w:before="0" w:beforeAutospacing="0" w:after="0" w:afterAutospacing="0"/>
        <w:jc w:val="both"/>
        <w:rPr>
          <w:rFonts w:ascii="Tahoma" w:hAnsi="Tahoma" w:cs="Tahoma"/>
          <w:i/>
          <w:sz w:val="20"/>
          <w:szCs w:val="20"/>
          <w:highlight w:val="yellow"/>
        </w:rPr>
      </w:pPr>
      <w:r w:rsidRPr="00E131A2">
        <w:rPr>
          <w:rFonts w:ascii="Tahoma" w:hAnsi="Tahoma" w:cs="Tahoma"/>
          <w:i/>
          <w:sz w:val="20"/>
          <w:szCs w:val="20"/>
        </w:rPr>
        <w:t xml:space="preserve">Όπως και στις προηγούμενες έρευνες, έτσι και τώρα, υπάρχει μια σαφής καταγραφή των τάσεων του οικονομικού κλίματος καθώς και η </w:t>
      </w:r>
      <w:r w:rsidRPr="00E131A2">
        <w:rPr>
          <w:rFonts w:ascii="Tahoma" w:hAnsi="Tahoma" w:cs="Tahoma"/>
          <w:b/>
          <w:i/>
          <w:sz w:val="20"/>
          <w:szCs w:val="20"/>
        </w:rPr>
        <w:t>παρακολούθηση</w:t>
      </w:r>
      <w:r w:rsidRPr="00E131A2">
        <w:rPr>
          <w:rFonts w:ascii="Tahoma" w:hAnsi="Tahoma" w:cs="Tahoma"/>
          <w:i/>
          <w:sz w:val="20"/>
          <w:szCs w:val="20"/>
        </w:rPr>
        <w:t xml:space="preserve"> των βασικών δεικτών λειτουργίας των μικρών επιχειρήσεων κατά το </w:t>
      </w:r>
      <w:r w:rsidR="00060E23">
        <w:rPr>
          <w:rFonts w:ascii="Tahoma" w:hAnsi="Tahoma" w:cs="Tahoma"/>
          <w:i/>
          <w:sz w:val="20"/>
          <w:szCs w:val="20"/>
        </w:rPr>
        <w:t>1</w:t>
      </w:r>
      <w:r w:rsidRPr="00E131A2">
        <w:rPr>
          <w:rFonts w:ascii="Tahoma" w:hAnsi="Tahoma" w:cs="Tahoma"/>
          <w:i/>
          <w:sz w:val="20"/>
          <w:szCs w:val="20"/>
          <w:vertAlign w:val="superscript"/>
        </w:rPr>
        <w:t>ο</w:t>
      </w:r>
      <w:r w:rsidR="00060E23">
        <w:rPr>
          <w:rFonts w:ascii="Tahoma" w:hAnsi="Tahoma" w:cs="Tahoma"/>
          <w:i/>
          <w:sz w:val="20"/>
          <w:szCs w:val="20"/>
        </w:rPr>
        <w:t xml:space="preserve"> εξάμηνο του 2015</w:t>
      </w:r>
      <w:r w:rsidRPr="00E131A2">
        <w:rPr>
          <w:rFonts w:ascii="Tahoma" w:hAnsi="Tahoma" w:cs="Tahoma"/>
          <w:i/>
          <w:sz w:val="20"/>
          <w:szCs w:val="20"/>
        </w:rPr>
        <w:t xml:space="preserve">, ενώ παράλληλα επιχειρείται οικονομική </w:t>
      </w:r>
      <w:r w:rsidRPr="00E131A2">
        <w:rPr>
          <w:rFonts w:ascii="Tahoma" w:hAnsi="Tahoma" w:cs="Tahoma"/>
          <w:b/>
          <w:i/>
          <w:sz w:val="20"/>
          <w:szCs w:val="20"/>
        </w:rPr>
        <w:t>πρόβλεψη</w:t>
      </w:r>
      <w:r w:rsidRPr="00E131A2">
        <w:rPr>
          <w:rFonts w:ascii="Tahoma" w:hAnsi="Tahoma" w:cs="Tahoma"/>
          <w:i/>
          <w:sz w:val="20"/>
          <w:szCs w:val="20"/>
        </w:rPr>
        <w:t xml:space="preserve"> για το </w:t>
      </w:r>
      <w:r w:rsidR="00060E23">
        <w:rPr>
          <w:rFonts w:ascii="Tahoma" w:hAnsi="Tahoma" w:cs="Tahoma"/>
          <w:i/>
          <w:sz w:val="20"/>
          <w:szCs w:val="20"/>
        </w:rPr>
        <w:t>2</w:t>
      </w:r>
      <w:r w:rsidRPr="00E131A2">
        <w:rPr>
          <w:rFonts w:ascii="Tahoma" w:hAnsi="Tahoma" w:cs="Tahoma"/>
          <w:i/>
          <w:sz w:val="20"/>
          <w:szCs w:val="20"/>
          <w:vertAlign w:val="superscript"/>
        </w:rPr>
        <w:t>ο</w:t>
      </w:r>
      <w:r w:rsidR="004B04BD">
        <w:rPr>
          <w:rFonts w:ascii="Tahoma" w:hAnsi="Tahoma" w:cs="Tahoma"/>
          <w:i/>
          <w:sz w:val="20"/>
          <w:szCs w:val="20"/>
        </w:rPr>
        <w:t xml:space="preserve"> εξάμηνο του 2015</w:t>
      </w:r>
      <w:r w:rsidRPr="00E131A2">
        <w:rPr>
          <w:rFonts w:ascii="Tahoma" w:hAnsi="Tahoma" w:cs="Tahoma"/>
          <w:i/>
          <w:sz w:val="20"/>
          <w:szCs w:val="20"/>
        </w:rPr>
        <w:t>.</w:t>
      </w:r>
    </w:p>
    <w:p w:rsidR="00B640C8" w:rsidRPr="0064755D" w:rsidRDefault="00B640C8" w:rsidP="00834FA9">
      <w:pPr>
        <w:rPr>
          <w:sz w:val="28"/>
          <w:szCs w:val="28"/>
        </w:rPr>
      </w:pPr>
      <w:r>
        <w:br w:type="page"/>
      </w:r>
      <w:r w:rsidRPr="0064755D">
        <w:rPr>
          <w:rFonts w:ascii="Arial Narrow" w:hAnsi="Arial Narrow"/>
          <w:b/>
          <w:sz w:val="28"/>
          <w:szCs w:val="28"/>
        </w:rPr>
        <w:lastRenderedPageBreak/>
        <w:t>ΑΝΑΛΥΤΙΚΗ ΠΑΡΟΥΣΙΑΣΗ</w:t>
      </w:r>
      <w:r w:rsidRPr="0064755D">
        <w:rPr>
          <w:sz w:val="28"/>
          <w:szCs w:val="28"/>
        </w:rPr>
        <w:t xml:space="preserve"> </w:t>
      </w:r>
      <w:r w:rsidRPr="0064755D">
        <w:rPr>
          <w:rFonts w:ascii="Arial Narrow" w:hAnsi="Arial Narrow"/>
          <w:b/>
          <w:sz w:val="28"/>
          <w:szCs w:val="28"/>
        </w:rPr>
        <w:t>ΑΠΟΤΕΛΕΣΜΑΤΑ ΕΡΕΥΝΑΣ</w:t>
      </w:r>
      <w:r w:rsidRPr="0064755D">
        <w:rPr>
          <w:rFonts w:ascii="Arial Narrow" w:hAnsi="Arial Narrow"/>
          <w:sz w:val="28"/>
          <w:szCs w:val="28"/>
        </w:rPr>
        <w:t xml:space="preserve"> </w:t>
      </w:r>
    </w:p>
    <w:p w:rsidR="00B640C8" w:rsidRPr="008F2928" w:rsidRDefault="00B640C8" w:rsidP="008F2928">
      <w:pPr>
        <w:jc w:val="both"/>
        <w:rPr>
          <w:rFonts w:ascii="Arial Narrow" w:hAnsi="Arial Narrow"/>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 xml:space="preserve">ΑΠΟΤΙΜΗΣΗ </w:t>
      </w:r>
      <w:r w:rsidR="00F6557D">
        <w:rPr>
          <w:rFonts w:ascii="Arial Narrow" w:hAnsi="Arial Narrow"/>
          <w:b/>
          <w:u w:val="single"/>
        </w:rPr>
        <w:t>1</w:t>
      </w:r>
      <w:r w:rsidRPr="008F2928">
        <w:rPr>
          <w:rFonts w:ascii="Arial Narrow" w:hAnsi="Arial Narrow"/>
          <w:b/>
          <w:u w:val="single"/>
          <w:vertAlign w:val="superscript"/>
        </w:rPr>
        <w:t>ου</w:t>
      </w:r>
      <w:r w:rsidR="00F6557D">
        <w:rPr>
          <w:rFonts w:ascii="Arial Narrow" w:hAnsi="Arial Narrow"/>
          <w:b/>
          <w:u w:val="single"/>
        </w:rPr>
        <w:t xml:space="preserve"> ΕΞΑΜΗΝΟΥ 2015</w:t>
      </w:r>
    </w:p>
    <w:p w:rsidR="00B640C8" w:rsidRPr="008F2928" w:rsidRDefault="00B640C8" w:rsidP="008F2928">
      <w:pPr>
        <w:jc w:val="both"/>
        <w:rPr>
          <w:rFonts w:ascii="Arial Narrow" w:hAnsi="Arial Narrow"/>
          <w:sz w:val="20"/>
          <w:szCs w:val="20"/>
          <w:u w:val="single"/>
        </w:rPr>
      </w:pPr>
    </w:p>
    <w:p w:rsidR="002B1097" w:rsidRPr="004A4072" w:rsidRDefault="002B1097" w:rsidP="008F2928">
      <w:pPr>
        <w:jc w:val="both"/>
        <w:rPr>
          <w:rFonts w:ascii="Arial Narrow" w:hAnsi="Arial Narrow"/>
        </w:rPr>
      </w:pPr>
      <w:r w:rsidRPr="004A4072">
        <w:rPr>
          <w:rFonts w:ascii="Arial Narrow" w:hAnsi="Arial Narrow"/>
        </w:rPr>
        <w:t>Η</w:t>
      </w:r>
      <w:r w:rsidR="00F6557D" w:rsidRPr="004A4072">
        <w:rPr>
          <w:rFonts w:ascii="Arial Narrow" w:hAnsi="Arial Narrow"/>
        </w:rPr>
        <w:t xml:space="preserve"> αποτίμηση του α’ εξαμήνου 2015</w:t>
      </w:r>
      <w:r w:rsidR="00806CBE" w:rsidRPr="004A4072">
        <w:rPr>
          <w:rFonts w:ascii="Arial Narrow" w:hAnsi="Arial Narrow"/>
        </w:rPr>
        <w:t xml:space="preserve"> </w:t>
      </w:r>
      <w:r w:rsidRPr="004A4072">
        <w:rPr>
          <w:rFonts w:ascii="Arial Narrow" w:hAnsi="Arial Narrow"/>
        </w:rPr>
        <w:t>καταδεικνύει τη διάψευση των θετικών προσδοκιών που είχαν καλλιεργηθεί στο προηγούμενο εξάμηνο, καθώς το 84,3%</w:t>
      </w:r>
      <w:r w:rsidR="000478B8">
        <w:rPr>
          <w:rFonts w:ascii="Arial Narrow" w:hAnsi="Arial Narrow"/>
        </w:rPr>
        <w:t xml:space="preserve"> των ερωτώμενων</w:t>
      </w:r>
      <w:r w:rsidRPr="004A4072">
        <w:rPr>
          <w:rFonts w:ascii="Arial Narrow" w:hAnsi="Arial Narrow"/>
        </w:rPr>
        <w:t xml:space="preserve"> δηλώνει επιδείνωση της γενικής οικονομικής κατάστασης της επιχείρησης (μόνο το 4,8% παρουσιάζει βελτίωση), γεγονός που μας οδηγεί χρονικά στα μεγέθη που </w:t>
      </w:r>
      <w:r w:rsidR="000478B8">
        <w:rPr>
          <w:rFonts w:ascii="Arial Narrow" w:hAnsi="Arial Narrow"/>
        </w:rPr>
        <w:t>αποτυπώθηκαν</w:t>
      </w:r>
      <w:r w:rsidRPr="004A4072">
        <w:rPr>
          <w:rFonts w:ascii="Arial Narrow" w:hAnsi="Arial Narrow"/>
        </w:rPr>
        <w:t xml:space="preserve"> το 2012. Θα πρέπει να αναμένουμε τα αποτελέσματα του επόμενου εξαμήνου για να εξάγουμε πιο ασφαλή συμπεράσματα, δεδομένης της έκτακτης</w:t>
      </w:r>
      <w:r w:rsidR="0007352F" w:rsidRPr="004A4072">
        <w:rPr>
          <w:rFonts w:ascii="Arial Narrow" w:hAnsi="Arial Narrow"/>
        </w:rPr>
        <w:t xml:space="preserve"> τρέχουσας</w:t>
      </w:r>
      <w:r w:rsidRPr="004A4072">
        <w:rPr>
          <w:rFonts w:ascii="Arial Narrow" w:hAnsi="Arial Narrow"/>
        </w:rPr>
        <w:t xml:space="preserve"> συγκυρίας με την εφαρμογή των κεφαλαιακών ελέγχων.  </w:t>
      </w:r>
    </w:p>
    <w:p w:rsidR="0007352F" w:rsidRPr="004A4072" w:rsidRDefault="005347AD" w:rsidP="008F2928">
      <w:pPr>
        <w:jc w:val="both"/>
        <w:rPr>
          <w:rFonts w:ascii="Arial Narrow" w:hAnsi="Arial Narrow"/>
        </w:rPr>
      </w:pPr>
      <w:r w:rsidRPr="004A4072">
        <w:rPr>
          <w:rFonts w:ascii="Arial Narrow" w:hAnsi="Arial Narrow"/>
        </w:rPr>
        <w:t xml:space="preserve">Σε χειρότερη κατάσταση βρίσκονται οι πολύ μικρές επιχειρήσεις </w:t>
      </w:r>
      <w:r w:rsidR="006C5537" w:rsidRPr="004A4072">
        <w:rPr>
          <w:rFonts w:ascii="Arial Narrow" w:hAnsi="Arial Narrow"/>
        </w:rPr>
        <w:t>και οι αυτο</w:t>
      </w:r>
      <w:r w:rsidR="000C5E52">
        <w:rPr>
          <w:rFonts w:ascii="Arial Narrow" w:hAnsi="Arial Narrow"/>
        </w:rPr>
        <w:t>α</w:t>
      </w:r>
      <w:r w:rsidR="006C5537" w:rsidRPr="004A4072">
        <w:rPr>
          <w:rFonts w:ascii="Arial Narrow" w:hAnsi="Arial Narrow"/>
        </w:rPr>
        <w:t xml:space="preserve">πασχολούμενοι </w:t>
      </w:r>
      <w:r w:rsidRPr="004A4072">
        <w:rPr>
          <w:rFonts w:ascii="Arial Narrow" w:hAnsi="Arial Narrow"/>
        </w:rPr>
        <w:t xml:space="preserve">(οι αρνητικές </w:t>
      </w:r>
      <w:r w:rsidR="0002595C" w:rsidRPr="004A4072">
        <w:rPr>
          <w:rFonts w:ascii="Arial Narrow" w:hAnsi="Arial Narrow"/>
        </w:rPr>
        <w:t>αποτιμήσεις</w:t>
      </w:r>
      <w:r w:rsidR="006C5537" w:rsidRPr="004A4072">
        <w:rPr>
          <w:rFonts w:ascii="Arial Narrow" w:hAnsi="Arial Narrow"/>
        </w:rPr>
        <w:t xml:space="preserve"> ανέρχονται στο </w:t>
      </w:r>
      <w:r w:rsidR="002B1097" w:rsidRPr="004A4072">
        <w:rPr>
          <w:rFonts w:ascii="Arial Narrow" w:hAnsi="Arial Narrow"/>
        </w:rPr>
        <w:t>86</w:t>
      </w:r>
      <w:r w:rsidRPr="004A4072">
        <w:rPr>
          <w:rFonts w:ascii="Arial Narrow" w:hAnsi="Arial Narrow"/>
        </w:rPr>
        <w:t>%</w:t>
      </w:r>
      <w:r w:rsidR="002B1097" w:rsidRPr="004A4072">
        <w:rPr>
          <w:rFonts w:ascii="Arial Narrow" w:hAnsi="Arial Narrow"/>
        </w:rPr>
        <w:t xml:space="preserve"> για τις επιχειρήσεις με 0 έως 3 άτομα προσωπικό</w:t>
      </w:r>
      <w:r w:rsidRPr="004A4072">
        <w:rPr>
          <w:rFonts w:ascii="Arial Narrow" w:hAnsi="Arial Narrow"/>
        </w:rPr>
        <w:t>).</w:t>
      </w:r>
      <w:r w:rsidR="0007352F" w:rsidRPr="004A4072">
        <w:rPr>
          <w:rFonts w:ascii="Arial Narrow" w:hAnsi="Arial Narrow"/>
        </w:rPr>
        <w:t xml:space="preserve"> Η επιδείνωση του οικονομικού κλίματος αποτυπώνεται και στα επί μέρους πραγματικά μεγέθη των επιχειρήσεων</w:t>
      </w:r>
      <w:r w:rsidR="004A4072" w:rsidRPr="004A4072">
        <w:rPr>
          <w:rFonts w:ascii="Arial Narrow" w:hAnsi="Arial Narrow"/>
        </w:rPr>
        <w:t>.</w:t>
      </w:r>
      <w:r w:rsidRPr="004A4072">
        <w:rPr>
          <w:rFonts w:ascii="Arial Narrow" w:hAnsi="Arial Narrow"/>
        </w:rPr>
        <w:t xml:space="preserve"> </w:t>
      </w:r>
    </w:p>
    <w:p w:rsidR="00B640C8" w:rsidRPr="008F2928" w:rsidRDefault="004A4072" w:rsidP="008F2928">
      <w:pPr>
        <w:jc w:val="both"/>
        <w:rPr>
          <w:rFonts w:ascii="Arial Narrow" w:hAnsi="Arial Narrow"/>
        </w:rPr>
      </w:pPr>
      <w:r w:rsidRPr="004A4072">
        <w:rPr>
          <w:rFonts w:ascii="Arial Narrow" w:hAnsi="Arial Narrow"/>
        </w:rPr>
        <w:t>Συγκεκριμένα</w:t>
      </w:r>
      <w:r w:rsidR="00B640C8" w:rsidRPr="004A4072">
        <w:rPr>
          <w:rFonts w:ascii="Arial Narrow" w:hAnsi="Arial Narrow"/>
        </w:rPr>
        <w:t xml:space="preserve"> </w:t>
      </w:r>
      <w:r w:rsidR="00B640C8" w:rsidRPr="004A4072">
        <w:rPr>
          <w:rFonts w:ascii="Arial Narrow" w:hAnsi="Arial Narrow"/>
          <w:b/>
        </w:rPr>
        <w:t>επιδείνωση</w:t>
      </w:r>
      <w:r w:rsidR="00B640C8" w:rsidRPr="004A4072">
        <w:rPr>
          <w:rFonts w:ascii="Arial Narrow" w:hAnsi="Arial Narrow"/>
        </w:rPr>
        <w:t xml:space="preserve"> </w:t>
      </w:r>
      <w:r w:rsidR="00B640C8">
        <w:rPr>
          <w:rFonts w:ascii="Arial Narrow" w:hAnsi="Arial Narrow"/>
        </w:rPr>
        <w:t>σημειώνεται</w:t>
      </w:r>
      <w:r w:rsidR="00B640C8" w:rsidRPr="008F2928">
        <w:rPr>
          <w:rFonts w:ascii="Arial Narrow" w:hAnsi="Arial Narrow"/>
        </w:rPr>
        <w:t>:</w:t>
      </w:r>
    </w:p>
    <w:p w:rsidR="00B640C8" w:rsidRPr="00A50B2F" w:rsidRDefault="0082476B" w:rsidP="00D156EE">
      <w:pPr>
        <w:numPr>
          <w:ilvl w:val="0"/>
          <w:numId w:val="2"/>
        </w:numPr>
        <w:jc w:val="both"/>
        <w:rPr>
          <w:rFonts w:ascii="Arial Narrow" w:hAnsi="Arial Narrow"/>
          <w:b/>
        </w:rPr>
      </w:pPr>
      <w:r>
        <w:rPr>
          <w:rFonts w:ascii="Arial Narrow" w:hAnsi="Arial Narrow"/>
          <w:b/>
        </w:rPr>
        <w:t>στον κύκλ</w:t>
      </w:r>
      <w:r w:rsidR="006C5537">
        <w:rPr>
          <w:rFonts w:ascii="Arial Narrow" w:hAnsi="Arial Narrow"/>
          <w:b/>
        </w:rPr>
        <w:t>ο εργασιών για το 74,8</w:t>
      </w:r>
      <w:r w:rsidR="00B640C8" w:rsidRPr="00A50B2F">
        <w:rPr>
          <w:rFonts w:ascii="Arial Narrow" w:hAnsi="Arial Narrow"/>
          <w:b/>
        </w:rPr>
        <w:t>% των επιχειρήσεων</w:t>
      </w:r>
    </w:p>
    <w:p w:rsidR="00B640C8" w:rsidRPr="00A50B2F" w:rsidRDefault="006C5537" w:rsidP="00D156EE">
      <w:pPr>
        <w:numPr>
          <w:ilvl w:val="0"/>
          <w:numId w:val="2"/>
        </w:numPr>
        <w:jc w:val="both"/>
        <w:rPr>
          <w:rFonts w:ascii="Arial Narrow" w:hAnsi="Arial Narrow"/>
          <w:b/>
        </w:rPr>
      </w:pPr>
      <w:r>
        <w:rPr>
          <w:rFonts w:ascii="Arial Narrow" w:hAnsi="Arial Narrow"/>
          <w:b/>
        </w:rPr>
        <w:t>στη ζήτηση για το 75,4</w:t>
      </w:r>
      <w:r w:rsidR="00B640C8" w:rsidRPr="00A50B2F">
        <w:rPr>
          <w:rFonts w:ascii="Arial Narrow" w:hAnsi="Arial Narrow"/>
          <w:b/>
        </w:rPr>
        <w:t xml:space="preserve">% </w:t>
      </w:r>
    </w:p>
    <w:p w:rsidR="00B640C8" w:rsidRPr="00A50B2F" w:rsidRDefault="00B640C8" w:rsidP="00D156EE">
      <w:pPr>
        <w:numPr>
          <w:ilvl w:val="0"/>
          <w:numId w:val="2"/>
        </w:numPr>
        <w:jc w:val="both"/>
        <w:rPr>
          <w:rFonts w:ascii="Arial Narrow" w:hAnsi="Arial Narrow"/>
          <w:b/>
        </w:rPr>
      </w:pPr>
      <w:r w:rsidRPr="00A50B2F">
        <w:rPr>
          <w:rFonts w:ascii="Arial Narrow" w:hAnsi="Arial Narrow"/>
          <w:b/>
        </w:rPr>
        <w:t xml:space="preserve">στη ρευστότητα το </w:t>
      </w:r>
      <w:r w:rsidR="006C5537">
        <w:rPr>
          <w:rFonts w:ascii="Arial Narrow" w:hAnsi="Arial Narrow"/>
          <w:b/>
        </w:rPr>
        <w:t>81,7</w:t>
      </w:r>
      <w:r w:rsidRPr="00A50B2F">
        <w:rPr>
          <w:rFonts w:ascii="Arial Narrow" w:hAnsi="Arial Narrow"/>
          <w:b/>
        </w:rPr>
        <w:t>%</w:t>
      </w:r>
    </w:p>
    <w:p w:rsidR="00B640C8" w:rsidRPr="00A50B2F" w:rsidRDefault="005347AD" w:rsidP="00D156EE">
      <w:pPr>
        <w:numPr>
          <w:ilvl w:val="0"/>
          <w:numId w:val="2"/>
        </w:numPr>
        <w:jc w:val="both"/>
        <w:rPr>
          <w:rFonts w:ascii="Arial Narrow" w:hAnsi="Arial Narrow"/>
          <w:b/>
        </w:rPr>
      </w:pPr>
      <w:r>
        <w:rPr>
          <w:rFonts w:ascii="Arial Narrow" w:hAnsi="Arial Narrow"/>
          <w:b/>
        </w:rPr>
        <w:t xml:space="preserve">στις παραγγελίες το </w:t>
      </w:r>
      <w:r w:rsidR="006C5537">
        <w:rPr>
          <w:rFonts w:ascii="Arial Narrow" w:hAnsi="Arial Narrow"/>
          <w:b/>
        </w:rPr>
        <w:t>77,1</w:t>
      </w:r>
      <w:r w:rsidR="00B640C8" w:rsidRPr="00A50B2F">
        <w:rPr>
          <w:rFonts w:ascii="Arial Narrow" w:hAnsi="Arial Narrow"/>
          <w:b/>
        </w:rPr>
        <w:t>%</w:t>
      </w:r>
    </w:p>
    <w:p w:rsidR="00B640C8" w:rsidRPr="00A50B2F" w:rsidRDefault="00B640C8" w:rsidP="00D156EE">
      <w:pPr>
        <w:numPr>
          <w:ilvl w:val="0"/>
          <w:numId w:val="2"/>
        </w:numPr>
        <w:jc w:val="both"/>
        <w:rPr>
          <w:rFonts w:ascii="Arial Narrow" w:hAnsi="Arial Narrow"/>
          <w:b/>
        </w:rPr>
      </w:pPr>
      <w:r w:rsidRPr="00A50B2F">
        <w:rPr>
          <w:rFonts w:ascii="Arial Narrow" w:hAnsi="Arial Narrow"/>
          <w:b/>
        </w:rPr>
        <w:t>στις επ</w:t>
      </w:r>
      <w:r w:rsidR="005347AD">
        <w:rPr>
          <w:rFonts w:ascii="Arial Narrow" w:hAnsi="Arial Narrow"/>
          <w:b/>
        </w:rPr>
        <w:t xml:space="preserve">ενδύσεις: αύξηση καταγράφει το </w:t>
      </w:r>
      <w:r w:rsidR="006C5537">
        <w:rPr>
          <w:rFonts w:ascii="Arial Narrow" w:hAnsi="Arial Narrow"/>
          <w:b/>
        </w:rPr>
        <w:t>4,9</w:t>
      </w:r>
      <w:r w:rsidRPr="00A50B2F">
        <w:rPr>
          <w:rFonts w:ascii="Arial Narrow" w:hAnsi="Arial Narrow"/>
          <w:b/>
        </w:rPr>
        <w:t>%, μείωση το</w:t>
      </w:r>
      <w:r w:rsidR="005347AD">
        <w:rPr>
          <w:rFonts w:ascii="Arial Narrow" w:hAnsi="Arial Narrow"/>
          <w:b/>
        </w:rPr>
        <w:t xml:space="preserve"> </w:t>
      </w:r>
      <w:r w:rsidR="006C5537">
        <w:rPr>
          <w:rFonts w:ascii="Arial Narrow" w:hAnsi="Arial Narrow"/>
          <w:b/>
        </w:rPr>
        <w:t>49,8</w:t>
      </w:r>
      <w:r w:rsidR="005347AD">
        <w:rPr>
          <w:rFonts w:ascii="Arial Narrow" w:hAnsi="Arial Narrow"/>
          <w:b/>
        </w:rPr>
        <w:t xml:space="preserve">% και στασιμότητα το </w:t>
      </w:r>
      <w:r w:rsidR="006C5537">
        <w:rPr>
          <w:rFonts w:ascii="Arial Narrow" w:hAnsi="Arial Narrow"/>
          <w:b/>
        </w:rPr>
        <w:t>42,8</w:t>
      </w:r>
      <w:r w:rsidRPr="00A50B2F">
        <w:rPr>
          <w:rFonts w:ascii="Arial Narrow" w:hAnsi="Arial Narrow"/>
          <w:b/>
        </w:rPr>
        <w:t>%</w:t>
      </w:r>
    </w:p>
    <w:p w:rsidR="00B640C8" w:rsidRDefault="00B640C8" w:rsidP="00CB03C1">
      <w:pPr>
        <w:jc w:val="both"/>
        <w:rPr>
          <w:rFonts w:ascii="Arial Narrow" w:hAnsi="Arial Narrow"/>
          <w:b/>
        </w:rPr>
      </w:pPr>
      <w:r>
        <w:rPr>
          <w:rFonts w:ascii="Arial Narrow" w:hAnsi="Arial Narrow"/>
          <w:b/>
        </w:rPr>
        <w:t xml:space="preserve"> </w:t>
      </w:r>
      <w:r w:rsidRPr="008F2928">
        <w:rPr>
          <w:rFonts w:ascii="Arial Narrow" w:hAnsi="Arial Narrow"/>
          <w:b/>
        </w:rPr>
        <w:t xml:space="preserve"> </w:t>
      </w:r>
    </w:p>
    <w:p w:rsidR="00806CBE" w:rsidRDefault="00B640C8" w:rsidP="00CB03C1">
      <w:pPr>
        <w:jc w:val="both"/>
        <w:rPr>
          <w:rFonts w:ascii="Arial Narrow" w:hAnsi="Arial Narrow"/>
        </w:rPr>
      </w:pPr>
      <w:r w:rsidRPr="00CB03C1">
        <w:rPr>
          <w:rFonts w:ascii="Arial Narrow" w:hAnsi="Arial Narrow"/>
        </w:rPr>
        <w:t>Ο</w:t>
      </w:r>
      <w:r>
        <w:rPr>
          <w:rFonts w:ascii="Arial Narrow" w:hAnsi="Arial Narrow"/>
        </w:rPr>
        <w:t xml:space="preserve"> μέσος όρος μείωσης τ</w:t>
      </w:r>
      <w:r w:rsidR="001044AC">
        <w:rPr>
          <w:rFonts w:ascii="Arial Narrow" w:hAnsi="Arial Narrow"/>
        </w:rPr>
        <w:t xml:space="preserve">ου κύκλου εργασιών </w:t>
      </w:r>
      <w:r w:rsidR="006C5537">
        <w:rPr>
          <w:rFonts w:ascii="Arial Narrow" w:hAnsi="Arial Narrow"/>
        </w:rPr>
        <w:t>κυμάνθηκε</w:t>
      </w:r>
      <w:r w:rsidR="004853C0">
        <w:rPr>
          <w:rFonts w:ascii="Arial Narrow" w:hAnsi="Arial Narrow"/>
        </w:rPr>
        <w:t xml:space="preserve"> </w:t>
      </w:r>
      <w:r w:rsidR="005347AD">
        <w:rPr>
          <w:rFonts w:ascii="Arial Narrow" w:hAnsi="Arial Narrow"/>
        </w:rPr>
        <w:t>σ</w:t>
      </w:r>
      <w:r w:rsidR="004853C0">
        <w:rPr>
          <w:rFonts w:ascii="Arial Narrow" w:hAnsi="Arial Narrow"/>
        </w:rPr>
        <w:t xml:space="preserve">το </w:t>
      </w:r>
      <w:r w:rsidR="006C5537">
        <w:rPr>
          <w:rFonts w:ascii="Arial Narrow" w:hAnsi="Arial Narrow"/>
        </w:rPr>
        <w:t>21,23</w:t>
      </w:r>
      <w:r w:rsidRPr="00CD6F77">
        <w:rPr>
          <w:rFonts w:ascii="Arial Narrow" w:hAnsi="Arial Narrow"/>
        </w:rPr>
        <w:t>%,</w:t>
      </w:r>
      <w:r w:rsidR="006C5537">
        <w:rPr>
          <w:rFonts w:ascii="Arial Narrow" w:hAnsi="Arial Narrow"/>
        </w:rPr>
        <w:t xml:space="preserve"> γεγονός που οφείλεται κατά κύριο λόγο στα γεγονότα</w:t>
      </w:r>
      <w:r w:rsidR="004A4072">
        <w:rPr>
          <w:rFonts w:ascii="Arial Narrow" w:hAnsi="Arial Narrow"/>
        </w:rPr>
        <w:t xml:space="preserve"> του τελευταίου τριμήνου και τη σημαντική ύφεση την επιχειρηματική δραστηριότητα </w:t>
      </w:r>
      <w:r w:rsidR="006C5537">
        <w:rPr>
          <w:rFonts w:ascii="Arial Narrow" w:hAnsi="Arial Narrow"/>
        </w:rPr>
        <w:t>που ακολούθησε</w:t>
      </w:r>
      <w:r w:rsidRPr="00CD6F77">
        <w:rPr>
          <w:rFonts w:ascii="Arial Narrow" w:hAnsi="Arial Narrow"/>
        </w:rPr>
        <w:t>.</w:t>
      </w:r>
      <w:r>
        <w:rPr>
          <w:rFonts w:ascii="Arial Narrow" w:hAnsi="Arial Narrow"/>
        </w:rPr>
        <w:t xml:space="preserve"> </w:t>
      </w:r>
      <w:r w:rsidRPr="00D03915">
        <w:rPr>
          <w:rFonts w:ascii="Arial Narrow" w:hAnsi="Arial Narrow"/>
          <w:b/>
        </w:rPr>
        <w:t xml:space="preserve">Σωρευτικά </w:t>
      </w:r>
      <w:r w:rsidR="0017764F" w:rsidRPr="00D03915">
        <w:rPr>
          <w:rFonts w:ascii="Arial Narrow" w:hAnsi="Arial Narrow"/>
          <w:b/>
        </w:rPr>
        <w:t xml:space="preserve">στις </w:t>
      </w:r>
      <w:r w:rsidR="006C5537">
        <w:rPr>
          <w:rFonts w:ascii="Arial Narrow" w:hAnsi="Arial Narrow"/>
          <w:b/>
        </w:rPr>
        <w:t>μικρές και πολύ μικρές</w:t>
      </w:r>
      <w:r w:rsidR="0017764F" w:rsidRPr="00D03915">
        <w:rPr>
          <w:rFonts w:ascii="Arial Narrow" w:hAnsi="Arial Narrow"/>
          <w:b/>
        </w:rPr>
        <w:t xml:space="preserve"> επιχειρήσεις </w:t>
      </w:r>
      <w:r w:rsidRPr="00D03915">
        <w:rPr>
          <w:rFonts w:ascii="Arial Narrow" w:hAnsi="Arial Narrow"/>
          <w:b/>
        </w:rPr>
        <w:t xml:space="preserve">η </w:t>
      </w:r>
      <w:r w:rsidR="0017764F" w:rsidRPr="00D03915">
        <w:rPr>
          <w:rFonts w:ascii="Arial Narrow" w:hAnsi="Arial Narrow"/>
          <w:b/>
        </w:rPr>
        <w:t xml:space="preserve">συνολική </w:t>
      </w:r>
      <w:r w:rsidRPr="00D03915">
        <w:rPr>
          <w:rFonts w:ascii="Arial Narrow" w:hAnsi="Arial Narrow"/>
          <w:b/>
        </w:rPr>
        <w:t>μείωση</w:t>
      </w:r>
      <w:r w:rsidR="0017764F" w:rsidRPr="00D03915">
        <w:rPr>
          <w:rFonts w:ascii="Arial Narrow" w:hAnsi="Arial Narrow"/>
          <w:b/>
        </w:rPr>
        <w:t xml:space="preserve"> από την έναρξη της κρίσης και μετά </w:t>
      </w:r>
      <w:r w:rsidR="004A4072">
        <w:rPr>
          <w:rFonts w:ascii="Arial Narrow" w:hAnsi="Arial Narrow"/>
          <w:b/>
        </w:rPr>
        <w:t xml:space="preserve">το 2010 </w:t>
      </w:r>
      <w:r w:rsidR="00556999">
        <w:rPr>
          <w:rFonts w:ascii="Arial Narrow" w:hAnsi="Arial Narrow"/>
          <w:b/>
        </w:rPr>
        <w:t xml:space="preserve">αγγίζει </w:t>
      </w:r>
      <w:proofErr w:type="spellStart"/>
      <w:r w:rsidR="00806CBE" w:rsidRPr="00D03915">
        <w:rPr>
          <w:rFonts w:ascii="Arial Narrow" w:hAnsi="Arial Narrow"/>
          <w:b/>
        </w:rPr>
        <w:t>μεσοσταθμικά</w:t>
      </w:r>
      <w:proofErr w:type="spellEnd"/>
      <w:r w:rsidR="00806CBE" w:rsidRPr="00D03915">
        <w:rPr>
          <w:rFonts w:ascii="Arial Narrow" w:hAnsi="Arial Narrow"/>
          <w:b/>
        </w:rPr>
        <w:t xml:space="preserve"> </w:t>
      </w:r>
      <w:r w:rsidR="00E413B7" w:rsidRPr="00556999">
        <w:rPr>
          <w:rFonts w:ascii="Arial Narrow" w:hAnsi="Arial Narrow"/>
          <w:b/>
        </w:rPr>
        <w:t xml:space="preserve">το </w:t>
      </w:r>
      <w:r w:rsidR="00230EB6">
        <w:rPr>
          <w:rFonts w:ascii="Arial Narrow" w:hAnsi="Arial Narrow"/>
          <w:b/>
        </w:rPr>
        <w:t>78</w:t>
      </w:r>
      <w:r w:rsidRPr="00556999">
        <w:rPr>
          <w:rFonts w:ascii="Arial Narrow" w:hAnsi="Arial Narrow"/>
          <w:b/>
        </w:rPr>
        <w:t>%</w:t>
      </w:r>
      <w:r w:rsidR="006C5537">
        <w:rPr>
          <w:rFonts w:ascii="Arial Narrow" w:hAnsi="Arial Narrow"/>
          <w:b/>
        </w:rPr>
        <w:t xml:space="preserve"> (σημειωτέον ότι η πρόσφατη μελέτη της ΕΤΕ </w:t>
      </w:r>
      <w:r w:rsidR="00230EB6">
        <w:rPr>
          <w:rFonts w:ascii="Arial Narrow" w:hAnsi="Arial Narrow"/>
          <w:b/>
        </w:rPr>
        <w:t>υπολογίζει τις</w:t>
      </w:r>
      <w:r w:rsidR="006C5537">
        <w:rPr>
          <w:rFonts w:ascii="Arial Narrow" w:hAnsi="Arial Narrow"/>
          <w:b/>
        </w:rPr>
        <w:t xml:space="preserve"> </w:t>
      </w:r>
      <w:r w:rsidR="00230EB6">
        <w:rPr>
          <w:rFonts w:ascii="Arial Narrow" w:hAnsi="Arial Narrow"/>
          <w:b/>
        </w:rPr>
        <w:t>απώλειες</w:t>
      </w:r>
      <w:r w:rsidR="006C5537">
        <w:rPr>
          <w:rFonts w:ascii="Arial Narrow" w:hAnsi="Arial Narrow"/>
          <w:b/>
        </w:rPr>
        <w:t xml:space="preserve"> τζίρου για τις </w:t>
      </w:r>
      <w:r w:rsidR="006C5537" w:rsidRPr="00230EB6">
        <w:rPr>
          <w:rFonts w:ascii="Arial Narrow" w:hAnsi="Arial Narrow"/>
          <w:b/>
          <w:u w:val="single"/>
        </w:rPr>
        <w:t xml:space="preserve">μικρομεσαίες </w:t>
      </w:r>
      <w:r w:rsidR="004A4072" w:rsidRPr="00230EB6">
        <w:rPr>
          <w:rFonts w:ascii="Arial Narrow" w:hAnsi="Arial Narrow"/>
          <w:b/>
          <w:u w:val="single"/>
        </w:rPr>
        <w:t>και μεσαίες</w:t>
      </w:r>
      <w:r w:rsidR="004A4072">
        <w:rPr>
          <w:rFonts w:ascii="Arial Narrow" w:hAnsi="Arial Narrow"/>
          <w:b/>
        </w:rPr>
        <w:t xml:space="preserve"> επιχειρήσεις </w:t>
      </w:r>
      <w:r w:rsidR="00230EB6">
        <w:rPr>
          <w:rFonts w:ascii="Arial Narrow" w:hAnsi="Arial Narrow"/>
          <w:b/>
        </w:rPr>
        <w:t>στα</w:t>
      </w:r>
      <w:r w:rsidR="00C7707C">
        <w:rPr>
          <w:rFonts w:ascii="Arial Narrow" w:hAnsi="Arial Narrow"/>
          <w:b/>
        </w:rPr>
        <w:t xml:space="preserve"> 88 δις την τελευταία πενταετία</w:t>
      </w:r>
      <w:r w:rsidR="006C5537">
        <w:rPr>
          <w:rFonts w:ascii="Arial Narrow" w:hAnsi="Arial Narrow"/>
          <w:b/>
        </w:rPr>
        <w:t>)</w:t>
      </w:r>
      <w:r>
        <w:rPr>
          <w:rFonts w:ascii="Arial Narrow" w:hAnsi="Arial Narrow"/>
        </w:rPr>
        <w:t xml:space="preserve">. </w:t>
      </w:r>
      <w:r w:rsidR="004A4072">
        <w:rPr>
          <w:rFonts w:ascii="Arial Narrow" w:hAnsi="Arial Narrow"/>
        </w:rPr>
        <w:t>Η</w:t>
      </w:r>
      <w:r w:rsidR="006C5537">
        <w:rPr>
          <w:rFonts w:ascii="Arial Narrow" w:hAnsi="Arial Narrow"/>
        </w:rPr>
        <w:t xml:space="preserve"> συνθήκη αυτή </w:t>
      </w:r>
      <w:r w:rsidR="004A4072">
        <w:rPr>
          <w:rFonts w:ascii="Arial Narrow" w:hAnsi="Arial Narrow"/>
        </w:rPr>
        <w:t>φαίνεται ότι</w:t>
      </w:r>
      <w:r w:rsidR="006C5537">
        <w:rPr>
          <w:rFonts w:ascii="Arial Narrow" w:hAnsi="Arial Narrow"/>
        </w:rPr>
        <w:t xml:space="preserve"> </w:t>
      </w:r>
      <w:r w:rsidR="00642C72">
        <w:rPr>
          <w:rFonts w:ascii="Arial Narrow" w:hAnsi="Arial Narrow"/>
        </w:rPr>
        <w:t>ευνοεί</w:t>
      </w:r>
      <w:r w:rsidR="0002595C">
        <w:rPr>
          <w:rFonts w:ascii="Arial Narrow" w:hAnsi="Arial Narrow"/>
        </w:rPr>
        <w:t xml:space="preserve"> επιχειρήσεις με μεγαλύτερο κύκλο εργασιών και περισσότερο προσωπικό, </w:t>
      </w:r>
      <w:r w:rsidR="00642C72">
        <w:rPr>
          <w:rFonts w:ascii="Arial Narrow" w:hAnsi="Arial Narrow"/>
        </w:rPr>
        <w:t xml:space="preserve">εντούτοις αυτές αντιμετωπίζουν άλλης φύσεως προβλήματα που σχετίζονται με την αδυναμία διατήρησης των θέσεων εργασίας και τη </w:t>
      </w:r>
      <w:r w:rsidR="004A4072">
        <w:rPr>
          <w:rFonts w:ascii="Arial Narrow" w:hAnsi="Arial Narrow"/>
        </w:rPr>
        <w:t>αναστολή</w:t>
      </w:r>
      <w:r w:rsidR="00642C72">
        <w:rPr>
          <w:rFonts w:ascii="Arial Narrow" w:hAnsi="Arial Narrow"/>
        </w:rPr>
        <w:t xml:space="preserve"> </w:t>
      </w:r>
      <w:r w:rsidR="004A4072">
        <w:rPr>
          <w:rFonts w:ascii="Arial Narrow" w:hAnsi="Arial Narrow"/>
        </w:rPr>
        <w:t>των επενδυτικών πρωτοβουλιών</w:t>
      </w:r>
      <w:r w:rsidR="00806CBE">
        <w:rPr>
          <w:rFonts w:ascii="Arial Narrow" w:hAnsi="Arial Narrow"/>
        </w:rPr>
        <w:t>.</w:t>
      </w:r>
      <w:r w:rsidR="0031721D">
        <w:rPr>
          <w:rFonts w:ascii="Arial Narrow" w:hAnsi="Arial Narrow"/>
        </w:rPr>
        <w:t xml:space="preserve"> </w:t>
      </w:r>
    </w:p>
    <w:p w:rsidR="00B640C8" w:rsidRPr="00261B6C" w:rsidRDefault="0031721D" w:rsidP="008F2928">
      <w:pPr>
        <w:jc w:val="both"/>
        <w:rPr>
          <w:rFonts w:ascii="Arial Narrow" w:hAnsi="Arial Narrow"/>
          <w:color w:val="FF0000"/>
        </w:rPr>
      </w:pPr>
      <w:r w:rsidRPr="0031721D">
        <w:rPr>
          <w:rFonts w:ascii="Arial Narrow" w:hAnsi="Arial Narrow"/>
        </w:rPr>
        <w:t xml:space="preserve">  </w:t>
      </w:r>
    </w:p>
    <w:p w:rsidR="00B640C8" w:rsidRPr="000344FF" w:rsidRDefault="00B640C8" w:rsidP="008F2928">
      <w:pPr>
        <w:jc w:val="both"/>
        <w:rPr>
          <w:rFonts w:ascii="Arial Narrow" w:hAnsi="Arial Narrow"/>
          <w:b/>
          <w:bCs/>
          <w:u w:val="single"/>
        </w:rPr>
      </w:pPr>
      <w:r w:rsidRPr="000344FF">
        <w:rPr>
          <w:rFonts w:ascii="Arial Narrow" w:hAnsi="Arial Narrow"/>
          <w:b/>
          <w:bCs/>
          <w:u w:val="single"/>
        </w:rPr>
        <w:t>ΑΠΟΤΙΜΗΣΗ ΤΕΛΕΥΤΑΙΟΥ ΕΞΑΜΗΝΟΥ</w:t>
      </w:r>
      <w:r>
        <w:rPr>
          <w:rFonts w:ascii="Arial Narrow" w:hAnsi="Arial Narrow"/>
          <w:b/>
          <w:bCs/>
          <w:u w:val="single"/>
        </w:rPr>
        <w:t xml:space="preserve">- </w:t>
      </w:r>
      <w:r w:rsidR="00CD4D87">
        <w:rPr>
          <w:rFonts w:ascii="Arial Narrow" w:hAnsi="Arial Narrow"/>
          <w:b/>
          <w:bCs/>
          <w:u w:val="single"/>
        </w:rPr>
        <w:t>ΓΡΑΦΗ</w:t>
      </w:r>
      <w:r>
        <w:rPr>
          <w:rFonts w:ascii="Arial Narrow" w:hAnsi="Arial Narrow"/>
          <w:b/>
          <w:bCs/>
          <w:u w:val="single"/>
        </w:rPr>
        <w:t>ΜΑ 1</w:t>
      </w:r>
    </w:p>
    <w:p w:rsidR="00B640C8" w:rsidRDefault="00230EB6" w:rsidP="00F77B83">
      <w:pPr>
        <w:jc w:val="both"/>
        <w:rPr>
          <w:rFonts w:ascii="Arial Narrow" w:hAnsi="Arial Narrow"/>
        </w:rPr>
      </w:pPr>
      <w:r>
        <w:rPr>
          <w:rFonts w:ascii="Arial Narrow" w:hAnsi="Arial Narrow"/>
          <w:noProof/>
        </w:rPr>
        <w:drawing>
          <wp:anchor distT="0" distB="0" distL="114300" distR="114300" simplePos="0" relativeHeight="251675136" behindDoc="0" locked="0" layoutInCell="1" allowOverlap="1">
            <wp:simplePos x="0" y="0"/>
            <wp:positionH relativeFrom="column">
              <wp:posOffset>-104775</wp:posOffset>
            </wp:positionH>
            <wp:positionV relativeFrom="paragraph">
              <wp:posOffset>45085</wp:posOffset>
            </wp:positionV>
            <wp:extent cx="6048375" cy="3305175"/>
            <wp:effectExtent l="0" t="0" r="0" b="0"/>
            <wp:wrapNone/>
            <wp:docPr id="2" name="Γράφημα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B640C8" w:rsidRDefault="00B640C8" w:rsidP="008F2928">
      <w:pPr>
        <w:jc w:val="both"/>
        <w:rPr>
          <w:rFonts w:ascii="Arial Narrow" w:hAnsi="Arial Narrow"/>
        </w:rPr>
      </w:pPr>
    </w:p>
    <w:p w:rsidR="00202B7E" w:rsidRDefault="00202B7E" w:rsidP="008F2928">
      <w:pPr>
        <w:jc w:val="both"/>
        <w:rPr>
          <w:rFonts w:ascii="Arial Narrow" w:hAnsi="Arial Narrow"/>
        </w:rPr>
      </w:pPr>
    </w:p>
    <w:p w:rsidR="00230EB6" w:rsidRDefault="00230EB6" w:rsidP="008F2928">
      <w:pPr>
        <w:jc w:val="both"/>
        <w:rPr>
          <w:rFonts w:ascii="Arial Narrow" w:hAnsi="Arial Narrow"/>
        </w:rPr>
      </w:pPr>
    </w:p>
    <w:p w:rsidR="007C59A4" w:rsidRDefault="007C59A4" w:rsidP="007C59A4">
      <w:pPr>
        <w:ind w:left="360"/>
        <w:jc w:val="both"/>
        <w:rPr>
          <w:rFonts w:ascii="Arial Narrow" w:hAnsi="Arial Narrow"/>
          <w:b/>
          <w:u w:val="single"/>
        </w:rPr>
      </w:pPr>
    </w:p>
    <w:p w:rsidR="007C59A4" w:rsidRDefault="007C59A4" w:rsidP="007C59A4">
      <w:pPr>
        <w:ind w:left="360"/>
        <w:jc w:val="both"/>
        <w:rPr>
          <w:rFonts w:ascii="Arial Narrow" w:hAnsi="Arial Narrow"/>
          <w:b/>
          <w:u w:val="single"/>
        </w:rPr>
      </w:pPr>
    </w:p>
    <w:p w:rsidR="007C59A4" w:rsidRDefault="007C59A4" w:rsidP="007C59A4">
      <w:pPr>
        <w:ind w:left="360"/>
        <w:jc w:val="both"/>
        <w:rPr>
          <w:rFonts w:ascii="Arial Narrow" w:hAnsi="Arial Narrow"/>
          <w:b/>
          <w:u w:val="single"/>
        </w:rPr>
      </w:pPr>
    </w:p>
    <w:p w:rsidR="007C59A4" w:rsidRDefault="007C59A4" w:rsidP="007C59A4">
      <w:pPr>
        <w:ind w:left="360"/>
        <w:jc w:val="both"/>
        <w:rPr>
          <w:rFonts w:ascii="Arial Narrow" w:hAnsi="Arial Narrow"/>
          <w:b/>
          <w:u w:val="single"/>
        </w:rPr>
      </w:pPr>
    </w:p>
    <w:p w:rsidR="007C59A4" w:rsidRDefault="007C59A4" w:rsidP="007C59A4">
      <w:pPr>
        <w:ind w:left="360"/>
        <w:jc w:val="both"/>
        <w:rPr>
          <w:rFonts w:ascii="Arial Narrow" w:hAnsi="Arial Narrow"/>
          <w:b/>
          <w:u w:val="single"/>
        </w:rPr>
      </w:pPr>
    </w:p>
    <w:p w:rsidR="007C59A4" w:rsidRDefault="007C59A4" w:rsidP="007C59A4">
      <w:pPr>
        <w:ind w:left="360"/>
        <w:jc w:val="both"/>
        <w:rPr>
          <w:rFonts w:ascii="Arial Narrow" w:hAnsi="Arial Narrow"/>
          <w:b/>
          <w:u w:val="single"/>
        </w:rPr>
      </w:pPr>
    </w:p>
    <w:p w:rsidR="00C7707C" w:rsidRDefault="00C7707C" w:rsidP="00FD042B">
      <w:pPr>
        <w:jc w:val="both"/>
        <w:rPr>
          <w:rFonts w:ascii="Arial Narrow" w:hAnsi="Arial Narrow"/>
          <w:b/>
          <w:u w:val="single"/>
        </w:rPr>
      </w:pPr>
    </w:p>
    <w:p w:rsidR="00B640C8" w:rsidRPr="008F2928" w:rsidRDefault="00B640C8" w:rsidP="00D156EE">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lastRenderedPageBreak/>
        <w:t>Κ</w:t>
      </w:r>
      <w:r w:rsidRPr="008F2928">
        <w:rPr>
          <w:rFonts w:ascii="Arial Narrow" w:hAnsi="Arial Narrow"/>
          <w:b/>
          <w:u w:val="single"/>
        </w:rPr>
        <w:t>ΛΕΙΣΙΜΟ ΕΠΙΧΕΙΡΗΣΕΩΝ</w:t>
      </w:r>
    </w:p>
    <w:p w:rsidR="0082196A" w:rsidRDefault="00B640C8" w:rsidP="0082196A">
      <w:pPr>
        <w:jc w:val="both"/>
        <w:rPr>
          <w:rFonts w:ascii="Arial Narrow" w:hAnsi="Arial Narrow"/>
          <w:color w:val="FF0000"/>
        </w:rPr>
      </w:pPr>
      <w:r w:rsidRPr="008F2928">
        <w:rPr>
          <w:rFonts w:ascii="Arial Narrow" w:hAnsi="Arial Narrow"/>
          <w:sz w:val="20"/>
          <w:szCs w:val="20"/>
          <w:u w:val="single"/>
        </w:rPr>
        <w:t xml:space="preserve">   </w:t>
      </w:r>
    </w:p>
    <w:p w:rsidR="00FD042B" w:rsidRDefault="00B640C8" w:rsidP="00FD042B">
      <w:pPr>
        <w:numPr>
          <w:ilvl w:val="0"/>
          <w:numId w:val="7"/>
        </w:numPr>
        <w:jc w:val="both"/>
        <w:rPr>
          <w:rFonts w:ascii="Arial Narrow" w:hAnsi="Arial Narrow"/>
        </w:rPr>
      </w:pPr>
      <w:r w:rsidRPr="0082196A">
        <w:rPr>
          <w:rFonts w:ascii="Arial Narrow" w:hAnsi="Arial Narrow"/>
        </w:rPr>
        <w:t>Το ποσοστό των μικρών επιχειρήσεων</w:t>
      </w:r>
      <w:r w:rsidR="00490F37">
        <w:rPr>
          <w:rFonts w:ascii="Arial Narrow" w:hAnsi="Arial Narrow"/>
        </w:rPr>
        <w:t>,</w:t>
      </w:r>
      <w:r w:rsidRPr="0082196A">
        <w:rPr>
          <w:rFonts w:ascii="Arial Narrow" w:hAnsi="Arial Narrow"/>
        </w:rPr>
        <w:t xml:space="preserve"> που θεωρούν πολύ ή αρκετά πιθανό το ενδεχόμενο να έχουν το επόμενο διάστημα σοβαρό πρόβλημα λειτουργίας</w:t>
      </w:r>
      <w:r w:rsidR="00490F37">
        <w:rPr>
          <w:rFonts w:ascii="Arial Narrow" w:hAnsi="Arial Narrow"/>
        </w:rPr>
        <w:t>,</w:t>
      </w:r>
      <w:r w:rsidRPr="0082196A">
        <w:rPr>
          <w:rFonts w:ascii="Arial Narrow" w:hAnsi="Arial Narrow"/>
        </w:rPr>
        <w:t xml:space="preserve"> σε βαθμό που θα κινδυνεύσουν </w:t>
      </w:r>
      <w:r w:rsidR="0082196A" w:rsidRPr="0082196A">
        <w:rPr>
          <w:rFonts w:ascii="Arial Narrow" w:hAnsi="Arial Narrow"/>
        </w:rPr>
        <w:t xml:space="preserve">να κλείσουν </w:t>
      </w:r>
      <w:r w:rsidR="00741635">
        <w:rPr>
          <w:rFonts w:ascii="Arial Narrow" w:hAnsi="Arial Narrow"/>
        </w:rPr>
        <w:t xml:space="preserve">επανήλθε </w:t>
      </w:r>
      <w:r w:rsidR="00741635" w:rsidRPr="00492618">
        <w:rPr>
          <w:rFonts w:ascii="Arial Narrow" w:hAnsi="Arial Narrow"/>
          <w:b/>
        </w:rPr>
        <w:t>στα επίπεδα των προηγούμενων ετών, αντανακλώντας το πραγματικό πρόβλημα επιβίωσης που αντιμετωπ</w:t>
      </w:r>
      <w:r w:rsidR="00492618" w:rsidRPr="00492618">
        <w:rPr>
          <w:rFonts w:ascii="Arial Narrow" w:hAnsi="Arial Narrow"/>
          <w:b/>
        </w:rPr>
        <w:t>ίζουν οι επαγγελματίες και οι επιχειρήσεις</w:t>
      </w:r>
      <w:r w:rsidR="00492618">
        <w:rPr>
          <w:rFonts w:ascii="Arial Narrow" w:hAnsi="Arial Narrow"/>
        </w:rPr>
        <w:t xml:space="preserve">. Το 46,3% των </w:t>
      </w:r>
      <w:r w:rsidR="0082196A" w:rsidRPr="00492618">
        <w:rPr>
          <w:rFonts w:ascii="Arial Narrow" w:hAnsi="Arial Narrow"/>
        </w:rPr>
        <w:t>επιχειρ</w:t>
      </w:r>
      <w:r w:rsidR="00492618">
        <w:rPr>
          <w:rFonts w:ascii="Arial Narrow" w:hAnsi="Arial Narrow"/>
        </w:rPr>
        <w:t>ήσεων</w:t>
      </w:r>
      <w:r w:rsidR="0082196A" w:rsidRPr="00492618">
        <w:rPr>
          <w:rFonts w:ascii="Arial Narrow" w:hAnsi="Arial Narrow"/>
        </w:rPr>
        <w:t xml:space="preserve"> θεωρεί ως πολύ πιθανό τον κίνδυνο λουκέτου </w:t>
      </w:r>
      <w:r w:rsidRPr="00492618">
        <w:rPr>
          <w:rFonts w:ascii="Arial Narrow" w:hAnsi="Arial Narrow"/>
        </w:rPr>
        <w:t>(</w:t>
      </w:r>
      <w:r w:rsidR="0082196A" w:rsidRPr="00492618">
        <w:rPr>
          <w:rFonts w:ascii="Arial Narrow" w:hAnsi="Arial Narrow"/>
        </w:rPr>
        <w:t xml:space="preserve">έναντι </w:t>
      </w:r>
      <w:r w:rsidR="00492618">
        <w:rPr>
          <w:rFonts w:ascii="Arial Narrow" w:hAnsi="Arial Narrow"/>
        </w:rPr>
        <w:t>32,9</w:t>
      </w:r>
      <w:r w:rsidR="0082196A" w:rsidRPr="00492618">
        <w:rPr>
          <w:rFonts w:ascii="Arial Narrow" w:hAnsi="Arial Narrow"/>
        </w:rPr>
        <w:t>%</w:t>
      </w:r>
      <w:r w:rsidR="0044567F" w:rsidRPr="00492618">
        <w:rPr>
          <w:rFonts w:ascii="Arial Narrow" w:hAnsi="Arial Narrow"/>
        </w:rPr>
        <w:t xml:space="preserve"> στην αντίστοιχη έρευνα </w:t>
      </w:r>
      <w:r w:rsidR="00492618">
        <w:rPr>
          <w:rFonts w:ascii="Arial Narrow" w:hAnsi="Arial Narrow"/>
        </w:rPr>
        <w:t>Φεβρουαρίου 2015</w:t>
      </w:r>
      <w:r w:rsidRPr="00492618">
        <w:rPr>
          <w:rFonts w:ascii="Arial Narrow" w:hAnsi="Arial Narrow"/>
        </w:rPr>
        <w:t xml:space="preserve">). </w:t>
      </w:r>
      <w:r w:rsidR="0044567F" w:rsidRPr="00492618">
        <w:rPr>
          <w:rFonts w:ascii="Arial Narrow" w:hAnsi="Arial Narrow"/>
        </w:rPr>
        <w:t xml:space="preserve">Επισημαίνεται ότι </w:t>
      </w:r>
      <w:r w:rsidRPr="00492618">
        <w:rPr>
          <w:rFonts w:ascii="Arial Narrow" w:hAnsi="Arial Narrow"/>
        </w:rPr>
        <w:t>το Μάιο του 2009 ο αντίστο</w:t>
      </w:r>
      <w:r w:rsidR="00CE76D0" w:rsidRPr="00492618">
        <w:rPr>
          <w:rFonts w:ascii="Arial Narrow" w:hAnsi="Arial Narrow"/>
        </w:rPr>
        <w:t>ιχος δείκτης ήταν 11,7% (διαγρά</w:t>
      </w:r>
      <w:r w:rsidRPr="00492618">
        <w:rPr>
          <w:rFonts w:ascii="Arial Narrow" w:hAnsi="Arial Narrow"/>
        </w:rPr>
        <w:t>μμα</w:t>
      </w:r>
      <w:r w:rsidR="00CE76D0" w:rsidRPr="00492618">
        <w:rPr>
          <w:rFonts w:ascii="Arial Narrow" w:hAnsi="Arial Narrow"/>
        </w:rPr>
        <w:t>τα</w:t>
      </w:r>
      <w:r w:rsidRPr="00492618">
        <w:rPr>
          <w:rFonts w:ascii="Arial Narrow" w:hAnsi="Arial Narrow"/>
        </w:rPr>
        <w:t xml:space="preserve"> </w:t>
      </w:r>
      <w:r w:rsidR="00CE76D0" w:rsidRPr="00492618">
        <w:rPr>
          <w:rFonts w:ascii="Arial Narrow" w:hAnsi="Arial Narrow"/>
        </w:rPr>
        <w:t xml:space="preserve">2 &amp; </w:t>
      </w:r>
      <w:r w:rsidRPr="00492618">
        <w:rPr>
          <w:rFonts w:ascii="Arial Narrow" w:hAnsi="Arial Narrow"/>
        </w:rPr>
        <w:t>3)</w:t>
      </w:r>
      <w:r w:rsidR="00492618">
        <w:rPr>
          <w:rFonts w:ascii="Arial Narrow" w:hAnsi="Arial Narrow"/>
        </w:rPr>
        <w:t xml:space="preserve"> και από τότε έχει σταθεροποιηθεί σε ποσοστά άνω του 44%</w:t>
      </w:r>
      <w:r w:rsidRPr="00492618">
        <w:rPr>
          <w:rFonts w:ascii="Arial Narrow" w:hAnsi="Arial Narrow"/>
        </w:rPr>
        <w:t>.</w:t>
      </w:r>
      <w:r w:rsidR="005B6C38" w:rsidRPr="005B6C38">
        <w:rPr>
          <w:rFonts w:ascii="Arial Narrow" w:hAnsi="Arial Narrow"/>
        </w:rPr>
        <w:t xml:space="preserve"> </w:t>
      </w:r>
      <w:r w:rsidR="00635AEA" w:rsidRPr="005B6C38">
        <w:rPr>
          <w:rFonts w:ascii="Arial Narrow" w:hAnsi="Arial Narrow"/>
        </w:rPr>
        <w:t>Η τάση βελτίωσης και μείωση του δείκτη επικινδυνότητας που είχε εκδηλωθεί στο προηγούμενο εξάμηνο (β’ εξάμηνο 2014)  αναστράφηκε, αντανακλώντας έτσι το κύμα αβεβαιότητας που διαδέχτηκε την αρχική ευφορία</w:t>
      </w:r>
      <w:r w:rsidR="00DD1914" w:rsidRPr="005B6C38">
        <w:rPr>
          <w:rFonts w:ascii="Arial Narrow" w:hAnsi="Arial Narrow"/>
        </w:rPr>
        <w:t xml:space="preserve"> του Φεβρουαρίου 2015</w:t>
      </w:r>
      <w:r w:rsidR="00635AEA" w:rsidRPr="005B6C38">
        <w:rPr>
          <w:rFonts w:ascii="Arial Narrow" w:hAnsi="Arial Narrow"/>
        </w:rPr>
        <w:t>.</w:t>
      </w:r>
    </w:p>
    <w:p w:rsidR="00FD042B" w:rsidRPr="00FD042B" w:rsidRDefault="00FD042B" w:rsidP="00FD042B">
      <w:pPr>
        <w:ind w:left="720"/>
        <w:jc w:val="both"/>
        <w:rPr>
          <w:rFonts w:ascii="Arial Narrow" w:hAnsi="Arial Narrow"/>
        </w:rPr>
      </w:pPr>
    </w:p>
    <w:tbl>
      <w:tblPr>
        <w:tblpPr w:leftFromText="180" w:rightFromText="180" w:vertAnchor="text" w:horzAnchor="page" w:tblpX="2608" w:tblpY="-54"/>
        <w:tblW w:w="5328" w:type="dxa"/>
        <w:tblLayout w:type="fixed"/>
        <w:tblLook w:val="01E0"/>
      </w:tblPr>
      <w:tblGrid>
        <w:gridCol w:w="5328"/>
      </w:tblGrid>
      <w:tr w:rsidR="00FD042B" w:rsidRPr="008F2928" w:rsidTr="00FD042B">
        <w:tc>
          <w:tcPr>
            <w:tcW w:w="5328" w:type="dxa"/>
          </w:tcPr>
          <w:p w:rsidR="00FD042B" w:rsidRPr="00FE4445" w:rsidRDefault="00FD042B" w:rsidP="00FD042B">
            <w:pPr>
              <w:jc w:val="center"/>
              <w:rPr>
                <w:rFonts w:ascii="Arial Narrow" w:hAnsi="Arial Narrow"/>
                <w:b/>
                <w:bCs/>
                <w:sz w:val="20"/>
                <w:szCs w:val="20"/>
                <w:u w:val="single"/>
              </w:rPr>
            </w:pPr>
            <w:r>
              <w:rPr>
                <w:rFonts w:ascii="Arial Narrow" w:hAnsi="Arial Narrow"/>
                <w:b/>
                <w:bCs/>
                <w:sz w:val="20"/>
                <w:szCs w:val="20"/>
                <w:u w:val="single"/>
              </w:rPr>
              <w:t>ΓΡΑΦΗΜΑ 2</w:t>
            </w:r>
          </w:p>
        </w:tc>
      </w:tr>
      <w:tr w:rsidR="00FD042B" w:rsidRPr="008F2928" w:rsidTr="00FD042B">
        <w:tc>
          <w:tcPr>
            <w:tcW w:w="5328" w:type="dxa"/>
          </w:tcPr>
          <w:p w:rsidR="00FD042B" w:rsidRPr="00BE275B" w:rsidRDefault="00FD042B" w:rsidP="00FD042B">
            <w:pPr>
              <w:rPr>
                <w:rFonts w:ascii="Arial Narrow" w:hAnsi="Arial Narrow"/>
                <w:b/>
                <w:bCs/>
                <w:sz w:val="16"/>
                <w:szCs w:val="16"/>
              </w:rPr>
            </w:pPr>
            <w:r w:rsidRPr="008F2928">
              <w:rPr>
                <w:rFonts w:ascii="Arial Narrow" w:hAnsi="Arial Narrow"/>
                <w:b/>
                <w:bCs/>
                <w:sz w:val="16"/>
                <w:szCs w:val="16"/>
              </w:rPr>
              <w:t xml:space="preserve">Θεωρείτε πιθανό ή όχι το ενδεχόμενο η επιχείρησή σας να έχει σοβαρό πρόβλημα λειτουργίας το επόμενο διάστημα σε βαθμό που θα κινδυνεύει να </w:t>
            </w:r>
          </w:p>
          <w:p w:rsidR="00FD042B" w:rsidRPr="00463686" w:rsidRDefault="00FD042B" w:rsidP="00FD042B">
            <w:pPr>
              <w:rPr>
                <w:rFonts w:ascii="Arial Narrow" w:hAnsi="Arial Narrow"/>
                <w:sz w:val="16"/>
                <w:szCs w:val="16"/>
              </w:rPr>
            </w:pPr>
            <w:r>
              <w:rPr>
                <w:rFonts w:ascii="Arial Narrow" w:hAnsi="Arial Narrow"/>
                <w:b/>
                <w:noProof/>
                <w:u w:val="single"/>
              </w:rPr>
              <w:drawing>
                <wp:anchor distT="0" distB="0" distL="114300" distR="114300" simplePos="0" relativeHeight="251692544" behindDoc="0" locked="0" layoutInCell="1" allowOverlap="1">
                  <wp:simplePos x="0" y="0"/>
                  <wp:positionH relativeFrom="column">
                    <wp:posOffset>125730</wp:posOffset>
                  </wp:positionH>
                  <wp:positionV relativeFrom="paragraph">
                    <wp:posOffset>-5080</wp:posOffset>
                  </wp:positionV>
                  <wp:extent cx="3600450" cy="2219325"/>
                  <wp:effectExtent l="0" t="0" r="0" b="0"/>
                  <wp:wrapNone/>
                  <wp:docPr id="9" name="Γράφημα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8F2928">
              <w:rPr>
                <w:rFonts w:ascii="Arial Narrow" w:hAnsi="Arial Narrow"/>
                <w:b/>
                <w:bCs/>
                <w:sz w:val="16"/>
                <w:szCs w:val="16"/>
              </w:rPr>
              <w:t>κλείσει;</w:t>
            </w:r>
            <w:r w:rsidRPr="00463686">
              <w:rPr>
                <w:rFonts w:ascii="Arial Narrow" w:hAnsi="Arial Narrow"/>
                <w:b/>
              </w:rPr>
              <w:t xml:space="preserve"> </w:t>
            </w:r>
          </w:p>
        </w:tc>
      </w:tr>
    </w:tbl>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D67221" w:rsidP="005174A8">
      <w:pPr>
        <w:ind w:left="720"/>
        <w:jc w:val="both"/>
        <w:rPr>
          <w:rFonts w:ascii="Arial Narrow" w:hAnsi="Arial Narrow"/>
        </w:rPr>
      </w:pPr>
      <w:r w:rsidRPr="00D67221">
        <w:rPr>
          <w:noProof/>
        </w:rPr>
        <w:pict>
          <v:shapetype id="_x0000_t202" coordsize="21600,21600" o:spt="202" path="m,l,21600r21600,l21600,xe">
            <v:stroke joinstyle="miter"/>
            <v:path gradientshapeok="t" o:connecttype="rect"/>
          </v:shapetype>
          <v:shape id="11 - TextBox" o:spid="_x0000_s1026" type="#_x0000_t202" style="position:absolute;left:0;text-align:left;margin-left:48.95pt;margin-top:8.4pt;width:112.15pt;height:2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" fillcolor="#769535" strokecolor="#98b954">
            <v:fill color2="#9cc746" rotate="t" angle="180" colors="0 #769535;52429f #9bc348;1 #9cc746" focus="100%" type="gradient">
              <o:fill v:ext="view" type="gradientUnscaled"/>
            </v:fill>
            <v:shadow on="t" color="black" opacity="22936f" origin=",.5" offset="0,.63889mm"/>
            <v:textbox>
              <w:txbxContent>
                <w:p w:rsidR="000B48CD" w:rsidRPr="0044567F" w:rsidRDefault="000B48CD" w:rsidP="0044567F">
                  <w:pPr>
                    <w:pStyle w:val="Web"/>
                    <w:spacing w:before="0" w:beforeAutospacing="0" w:after="0" w:afterAutospacing="0"/>
                    <w:jc w:val="center"/>
                    <w:rPr>
                      <w:sz w:val="14"/>
                      <w:szCs w:val="14"/>
                    </w:rPr>
                  </w:pPr>
                  <w:r w:rsidRPr="0044567F">
                    <w:rPr>
                      <w:rFonts w:ascii="Tahoma" w:hAnsi="Tahoma" w:cs="Tahoma"/>
                      <w:b/>
                      <w:bCs/>
                      <w:color w:val="FFFFFF"/>
                      <w:sz w:val="14"/>
                      <w:szCs w:val="14"/>
                    </w:rPr>
                    <w:t xml:space="preserve">Ελάχιστα &amp; Καθόλου πιθανό : </w:t>
                  </w:r>
                  <w:r>
                    <w:rPr>
                      <w:rFonts w:ascii="Tahoma" w:hAnsi="Tahoma" w:cs="Tahoma"/>
                      <w:b/>
                      <w:bCs/>
                      <w:color w:val="FFFFFF"/>
                      <w:sz w:val="14"/>
                      <w:szCs w:val="14"/>
                    </w:rPr>
                    <w:t>51,7</w:t>
                  </w:r>
                  <w:r w:rsidRPr="0044567F">
                    <w:rPr>
                      <w:rFonts w:ascii="Tahoma" w:hAnsi="Tahoma" w:cs="Tahoma"/>
                      <w:b/>
                      <w:bCs/>
                      <w:color w:val="FFFFFF"/>
                      <w:sz w:val="14"/>
                      <w:szCs w:val="14"/>
                    </w:rPr>
                    <w:t>%</w:t>
                  </w:r>
                </w:p>
              </w:txbxContent>
            </v:textbox>
          </v:shape>
        </w:pict>
      </w: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Default="00D67221" w:rsidP="005174A8">
      <w:pPr>
        <w:ind w:left="720"/>
        <w:jc w:val="both"/>
        <w:rPr>
          <w:rFonts w:ascii="Arial Narrow" w:hAnsi="Arial Narrow"/>
        </w:rPr>
      </w:pPr>
      <w:r w:rsidRPr="00D67221">
        <w:rPr>
          <w:noProof/>
        </w:rPr>
        <w:pict>
          <v:shape id="10 - TextBox" o:spid="_x0000_s1027" type="#_x0000_t202" style="position:absolute;left:0;text-align:left;margin-left:356.95pt;margin-top:.05pt;width:2in;height:1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" fillcolor="#9b2d2a" strokecolor="#be4b48">
            <v:fill color2="#ce3b37" rotate="t" angle="180" colors="0 #9b2d2a;52429f #cb3d3a;1 #ce3b37" focus="100%" type="gradient">
              <o:fill v:ext="view" type="gradientUnscaled"/>
            </v:fill>
            <v:shadow on="t" color="black" opacity="22937f" origin=",.5" offset="0,.63889mm"/>
            <v:path arrowok="t"/>
            <v:textbox style="mso-fit-shape-to-text:t">
              <w:txbxContent>
                <w:p w:rsidR="000B48CD" w:rsidRPr="0044567F" w:rsidRDefault="000B48CD" w:rsidP="0044567F">
                  <w:pPr>
                    <w:pStyle w:val="Web"/>
                    <w:spacing w:before="0" w:beforeAutospacing="0" w:after="0" w:afterAutospacing="0"/>
                    <w:jc w:val="center"/>
                    <w:rPr>
                      <w:sz w:val="14"/>
                      <w:szCs w:val="14"/>
                    </w:rPr>
                  </w:pPr>
                  <w:r>
                    <w:rPr>
                      <w:rFonts w:ascii="Tahoma" w:hAnsi="Tahoma" w:cs="Tahoma"/>
                      <w:b/>
                      <w:bCs/>
                      <w:color w:val="FFFFFF"/>
                      <w:sz w:val="14"/>
                      <w:szCs w:val="14"/>
                    </w:rPr>
                    <w:t>Πολύ &amp; Αρκετά πιθανό: 46,3</w:t>
                  </w:r>
                  <w:r w:rsidRPr="0044567F">
                    <w:rPr>
                      <w:rFonts w:ascii="Tahoma" w:hAnsi="Tahoma" w:cs="Tahoma"/>
                      <w:b/>
                      <w:bCs/>
                      <w:color w:val="FFFFFF"/>
                      <w:sz w:val="14"/>
                      <w:szCs w:val="14"/>
                    </w:rPr>
                    <w:t>%</w:t>
                  </w:r>
                </w:p>
              </w:txbxContent>
            </v:textbox>
          </v:shape>
        </w:pict>
      </w:r>
    </w:p>
    <w:p w:rsidR="00FD042B" w:rsidRDefault="00FD042B" w:rsidP="005174A8">
      <w:pPr>
        <w:ind w:left="720"/>
        <w:jc w:val="both"/>
        <w:rPr>
          <w:rFonts w:ascii="Arial Narrow" w:hAnsi="Arial Narrow"/>
        </w:rPr>
      </w:pPr>
    </w:p>
    <w:p w:rsidR="00FD042B" w:rsidRDefault="00FD042B" w:rsidP="005174A8">
      <w:pPr>
        <w:ind w:left="720"/>
        <w:jc w:val="both"/>
        <w:rPr>
          <w:rFonts w:ascii="Arial Narrow" w:hAnsi="Arial Narrow"/>
        </w:rPr>
      </w:pPr>
    </w:p>
    <w:p w:rsidR="00FD042B" w:rsidRPr="005174A8" w:rsidRDefault="00FD042B" w:rsidP="00FD042B">
      <w:pPr>
        <w:jc w:val="both"/>
        <w:rPr>
          <w:rFonts w:ascii="Arial Narrow" w:hAnsi="Arial Narrow"/>
        </w:rPr>
      </w:pPr>
    </w:p>
    <w:p w:rsidR="00B640C8" w:rsidRPr="005B6C38" w:rsidRDefault="0082196A" w:rsidP="00D156EE">
      <w:pPr>
        <w:numPr>
          <w:ilvl w:val="0"/>
          <w:numId w:val="7"/>
        </w:numPr>
        <w:jc w:val="both"/>
        <w:rPr>
          <w:rFonts w:ascii="Arial Narrow" w:hAnsi="Arial Narrow"/>
        </w:rPr>
      </w:pPr>
      <w:r w:rsidRPr="00925A9D">
        <w:rPr>
          <w:rFonts w:ascii="Arial Narrow" w:hAnsi="Arial Narrow"/>
        </w:rPr>
        <w:t xml:space="preserve">Άμεσο κίνδυνο </w:t>
      </w:r>
      <w:r w:rsidR="000B6F7C" w:rsidRPr="00925A9D">
        <w:rPr>
          <w:rFonts w:ascii="Arial Narrow" w:hAnsi="Arial Narrow"/>
        </w:rPr>
        <w:t xml:space="preserve">κλεισίματος το επόμενο εξάμηνο </w:t>
      </w:r>
      <w:r w:rsidRPr="00925A9D">
        <w:rPr>
          <w:rFonts w:ascii="Arial Narrow" w:hAnsi="Arial Narrow"/>
        </w:rPr>
        <w:t>αντιμετωπ</w:t>
      </w:r>
      <w:r w:rsidR="000B6F7C" w:rsidRPr="00925A9D">
        <w:rPr>
          <w:rFonts w:ascii="Arial Narrow" w:hAnsi="Arial Narrow"/>
        </w:rPr>
        <w:t xml:space="preserve">ίζει </w:t>
      </w:r>
      <w:r w:rsidR="000B6F7C" w:rsidRPr="005B6C38">
        <w:rPr>
          <w:rFonts w:ascii="Arial Narrow" w:hAnsi="Arial Narrow"/>
        </w:rPr>
        <w:t xml:space="preserve">το </w:t>
      </w:r>
      <w:r w:rsidR="00F76A10" w:rsidRPr="005B6C38">
        <w:rPr>
          <w:rFonts w:ascii="Arial Narrow" w:hAnsi="Arial Narrow"/>
        </w:rPr>
        <w:t>27,3</w:t>
      </w:r>
      <w:r w:rsidR="000B6F7C" w:rsidRPr="005B6C38">
        <w:rPr>
          <w:rFonts w:ascii="Arial Narrow" w:hAnsi="Arial Narrow"/>
        </w:rPr>
        <w:t xml:space="preserve">% των </w:t>
      </w:r>
      <w:r w:rsidR="00925A9D" w:rsidRPr="005B6C38">
        <w:rPr>
          <w:rFonts w:ascii="Arial Narrow" w:hAnsi="Arial Narrow"/>
        </w:rPr>
        <w:t xml:space="preserve">μικρών </w:t>
      </w:r>
      <w:r w:rsidR="00DC79DB" w:rsidRPr="005B6C38">
        <w:rPr>
          <w:rFonts w:ascii="Arial Narrow" w:hAnsi="Arial Narrow"/>
        </w:rPr>
        <w:t>επιχειρήσεων</w:t>
      </w:r>
      <w:r w:rsidR="00B640C8" w:rsidRPr="005B6C38">
        <w:rPr>
          <w:rFonts w:ascii="Arial Narrow" w:hAnsi="Arial Narrow"/>
        </w:rPr>
        <w:t xml:space="preserve">. </w:t>
      </w:r>
      <w:r w:rsidR="00B640C8" w:rsidRPr="005B6C38">
        <w:rPr>
          <w:rFonts w:ascii="Arial Narrow" w:hAnsi="Arial Narrow"/>
          <w:b/>
        </w:rPr>
        <w:t>Εκτιμάται ότι η μείωση επιχειρήσεων τ</w:t>
      </w:r>
      <w:r w:rsidR="00E54013" w:rsidRPr="005B6C38">
        <w:rPr>
          <w:rFonts w:ascii="Arial Narrow" w:hAnsi="Arial Narrow"/>
          <w:b/>
        </w:rPr>
        <w:t>ο επόμενο</w:t>
      </w:r>
      <w:r w:rsidR="00C00536" w:rsidRPr="005B6C38">
        <w:rPr>
          <w:rFonts w:ascii="Arial Narrow" w:hAnsi="Arial Narrow"/>
          <w:b/>
        </w:rPr>
        <w:t xml:space="preserve"> εξάμηνο</w:t>
      </w:r>
      <w:r w:rsidR="00E54013" w:rsidRPr="005B6C38">
        <w:rPr>
          <w:rFonts w:ascii="Arial Narrow" w:hAnsi="Arial Narrow"/>
          <w:b/>
        </w:rPr>
        <w:t xml:space="preserve"> </w:t>
      </w:r>
      <w:r w:rsidR="001C558F" w:rsidRPr="005B6C38">
        <w:rPr>
          <w:rFonts w:ascii="Arial Narrow" w:hAnsi="Arial Narrow"/>
          <w:b/>
        </w:rPr>
        <w:t xml:space="preserve">θα είναι </w:t>
      </w:r>
      <w:r w:rsidR="006250C8" w:rsidRPr="005B6C38">
        <w:rPr>
          <w:rFonts w:ascii="Arial Narrow" w:hAnsi="Arial Narrow"/>
          <w:b/>
          <w:u w:val="single"/>
        </w:rPr>
        <w:t>63,000</w:t>
      </w:r>
      <w:r w:rsidR="00492618" w:rsidRPr="005B6C38">
        <w:rPr>
          <w:rFonts w:ascii="Arial Narrow" w:hAnsi="Arial Narrow"/>
          <w:b/>
          <w:u w:val="single"/>
        </w:rPr>
        <w:t xml:space="preserve"> </w:t>
      </w:r>
      <w:r w:rsidR="00222C4F" w:rsidRPr="005B6C38">
        <w:rPr>
          <w:rFonts w:ascii="Arial Narrow" w:hAnsi="Arial Narrow"/>
          <w:b/>
        </w:rPr>
        <w:t xml:space="preserve">και θα αφορά κυρίως τις </w:t>
      </w:r>
      <w:r w:rsidR="00222C4F" w:rsidRPr="005B6C38">
        <w:rPr>
          <w:rFonts w:ascii="Arial Narrow" w:hAnsi="Arial Narrow"/>
          <w:b/>
          <w:u w:val="single"/>
        </w:rPr>
        <w:t>πολύ μικρές επιχειρήσ</w:t>
      </w:r>
      <w:r w:rsidR="00222C4F" w:rsidRPr="005B6C38">
        <w:rPr>
          <w:rFonts w:ascii="Arial Narrow" w:hAnsi="Arial Narrow"/>
          <w:b/>
        </w:rPr>
        <w:t>εις</w:t>
      </w:r>
      <w:r w:rsidR="002A73E7" w:rsidRPr="005B6C38">
        <w:rPr>
          <w:rFonts w:ascii="Arial Narrow" w:hAnsi="Arial Narrow"/>
          <w:b/>
        </w:rPr>
        <w:t>.</w:t>
      </w:r>
      <w:r w:rsidR="0083195F" w:rsidRPr="005B6C38">
        <w:rPr>
          <w:rFonts w:ascii="Arial Narrow" w:hAnsi="Arial Narrow"/>
        </w:rPr>
        <w:t xml:space="preserve"> Αξίζει να σημειωθεί ότι το 30% των αυτοαπασχολούμενων δηλώνει ότι είναι πολύ ότι διακόψει/ αναστείλει την επιχειρηματική δραστηριότητα. Δεν αποκλείεται να παρατηρηθεί το φαινόμενο της μετατόπισης μέρος αυτών στον άτυπο τομέα της οικονομίας ή θα μεταφέρει την έδρα για να μπορέσει να επιβιώσει μέσα στο δυσμενές φορολογικό και ανταγωνιστικό περιβάλλον που διαμορφώνεται.</w:t>
      </w:r>
    </w:p>
    <w:p w:rsidR="00B640C8" w:rsidRPr="00556999" w:rsidRDefault="00B640C8" w:rsidP="008F2928">
      <w:pPr>
        <w:numPr>
          <w:ilvl w:val="0"/>
          <w:numId w:val="7"/>
        </w:numPr>
        <w:ind w:right="26"/>
        <w:jc w:val="both"/>
        <w:rPr>
          <w:rFonts w:ascii="Arial Narrow" w:hAnsi="Arial Narrow"/>
        </w:rPr>
      </w:pPr>
      <w:r w:rsidRPr="005B6C38">
        <w:rPr>
          <w:rFonts w:ascii="Arial Narrow" w:hAnsi="Arial Narrow"/>
        </w:rPr>
        <w:t xml:space="preserve">Επισημαίνεται ότι σύμφωνα με </w:t>
      </w:r>
      <w:r w:rsidR="00906CEC" w:rsidRPr="005B6C38">
        <w:rPr>
          <w:rFonts w:ascii="Arial Narrow" w:hAnsi="Arial Narrow"/>
        </w:rPr>
        <w:t>το</w:t>
      </w:r>
      <w:r w:rsidRPr="005B6C38">
        <w:rPr>
          <w:rFonts w:ascii="Arial Narrow" w:hAnsi="Arial Narrow"/>
        </w:rPr>
        <w:t xml:space="preserve"> σενάριο</w:t>
      </w:r>
      <w:r w:rsidR="00492618" w:rsidRPr="005B6C38">
        <w:rPr>
          <w:rFonts w:ascii="Arial Narrow" w:hAnsi="Arial Narrow"/>
        </w:rPr>
        <w:t xml:space="preserve"> βάσης</w:t>
      </w:r>
      <w:r w:rsidR="00906CEC" w:rsidRPr="005B6C38">
        <w:rPr>
          <w:rFonts w:ascii="Arial Narrow" w:hAnsi="Arial Narrow"/>
        </w:rPr>
        <w:t xml:space="preserve"> του ΙΜΕ-ΓΣΕΒΕΕ</w:t>
      </w:r>
      <w:r w:rsidRPr="005B6C38">
        <w:rPr>
          <w:rFonts w:ascii="Arial Narrow" w:hAnsi="Arial Narrow"/>
        </w:rPr>
        <w:t xml:space="preserve"> τα πιθανά λουκέτα επιχειρήσεων, που βρίσκονται στο «κόκκινο» </w:t>
      </w:r>
      <w:r w:rsidRPr="005B6C38">
        <w:rPr>
          <w:rFonts w:ascii="Arial Narrow" w:hAnsi="Arial Narrow"/>
          <w:b/>
        </w:rPr>
        <w:t xml:space="preserve">συνεπάγονται κίνδυνο απώλειας </w:t>
      </w:r>
      <w:r w:rsidR="006250C8" w:rsidRPr="005B6C38">
        <w:rPr>
          <w:rFonts w:ascii="Arial Narrow" w:hAnsi="Arial Narrow"/>
          <w:b/>
          <w:u w:val="single"/>
        </w:rPr>
        <w:t>138,000</w:t>
      </w:r>
      <w:r w:rsidR="006250C8" w:rsidRPr="006250C8">
        <w:rPr>
          <w:rFonts w:ascii="Arial Narrow" w:hAnsi="Arial Narrow"/>
          <w:b/>
        </w:rPr>
        <w:t xml:space="preserve"> </w:t>
      </w:r>
      <w:r w:rsidRPr="00556999">
        <w:rPr>
          <w:rFonts w:ascii="Arial Narrow" w:hAnsi="Arial Narrow"/>
          <w:b/>
        </w:rPr>
        <w:t>θέσεων συνολικής απασχόλησης</w:t>
      </w:r>
      <w:r w:rsidR="004853C0" w:rsidRPr="00556999">
        <w:rPr>
          <w:rFonts w:ascii="Arial Narrow" w:hAnsi="Arial Narrow"/>
          <w:b/>
        </w:rPr>
        <w:t xml:space="preserve"> (εργοδότες, αυτοαπασχολούμενοι</w:t>
      </w:r>
      <w:r w:rsidR="001C558F" w:rsidRPr="00556999">
        <w:rPr>
          <w:rFonts w:ascii="Arial Narrow" w:hAnsi="Arial Narrow"/>
          <w:b/>
        </w:rPr>
        <w:t>,</w:t>
      </w:r>
      <w:r w:rsidRPr="00556999">
        <w:rPr>
          <w:rFonts w:ascii="Arial Narrow" w:hAnsi="Arial Narrow"/>
          <w:b/>
        </w:rPr>
        <w:t xml:space="preserve"> μισθωτοί).</w:t>
      </w:r>
      <w:r w:rsidR="001C558F" w:rsidRPr="00556999">
        <w:rPr>
          <w:rFonts w:ascii="Arial Narrow" w:hAnsi="Arial Narrow"/>
          <w:b/>
        </w:rPr>
        <w:t xml:space="preserve"> </w:t>
      </w:r>
    </w:p>
    <w:tbl>
      <w:tblPr>
        <w:tblpPr w:leftFromText="180" w:rightFromText="180" w:vertAnchor="text" w:horzAnchor="page" w:tblpX="2683" w:tblpY="167"/>
        <w:tblW w:w="5389" w:type="dxa"/>
        <w:tblLayout w:type="fixed"/>
        <w:tblLook w:val="01E0"/>
      </w:tblPr>
      <w:tblGrid>
        <w:gridCol w:w="5389"/>
      </w:tblGrid>
      <w:tr w:rsidR="00FD042B" w:rsidRPr="008F2928" w:rsidTr="00FD042B">
        <w:trPr>
          <w:trHeight w:val="161"/>
        </w:trPr>
        <w:tc>
          <w:tcPr>
            <w:tcW w:w="5389" w:type="dxa"/>
          </w:tcPr>
          <w:p w:rsidR="00FD042B" w:rsidRPr="00FE4445" w:rsidRDefault="00FD042B" w:rsidP="00FD042B">
            <w:pPr>
              <w:tabs>
                <w:tab w:val="left" w:pos="8280"/>
              </w:tabs>
              <w:ind w:right="26"/>
              <w:jc w:val="center"/>
              <w:rPr>
                <w:rFonts w:ascii="Arial Narrow" w:hAnsi="Arial Narrow"/>
                <w:b/>
                <w:sz w:val="20"/>
                <w:szCs w:val="20"/>
                <w:u w:val="single"/>
              </w:rPr>
            </w:pPr>
            <w:r>
              <w:rPr>
                <w:rFonts w:ascii="Arial Narrow" w:hAnsi="Arial Narrow"/>
                <w:b/>
                <w:sz w:val="20"/>
                <w:szCs w:val="20"/>
                <w:u w:val="single"/>
              </w:rPr>
              <w:t>ΓΡΑΦΗΜΑ 3</w:t>
            </w:r>
          </w:p>
        </w:tc>
      </w:tr>
      <w:tr w:rsidR="00FD042B" w:rsidRPr="008F2928" w:rsidTr="00FD042B">
        <w:trPr>
          <w:trHeight w:val="356"/>
        </w:trPr>
        <w:tc>
          <w:tcPr>
            <w:tcW w:w="5389" w:type="dxa"/>
          </w:tcPr>
          <w:p w:rsidR="00FD042B" w:rsidRPr="008F2928" w:rsidRDefault="00FD042B" w:rsidP="00FD042B">
            <w:pPr>
              <w:tabs>
                <w:tab w:val="left" w:pos="8280"/>
              </w:tabs>
              <w:ind w:right="26"/>
              <w:jc w:val="center"/>
              <w:rPr>
                <w:rFonts w:ascii="Arial Narrow" w:hAnsi="Arial Narrow"/>
                <w:b/>
                <w:sz w:val="16"/>
                <w:szCs w:val="16"/>
              </w:rPr>
            </w:pPr>
            <w:r w:rsidRPr="008F2928">
              <w:rPr>
                <w:rFonts w:ascii="Arial Narrow" w:hAnsi="Arial Narrow"/>
                <w:b/>
                <w:sz w:val="16"/>
                <w:szCs w:val="16"/>
              </w:rPr>
              <w:t>Φόβος για ενδεχόμενο κλείσιμο της επιχείρησης</w:t>
            </w:r>
          </w:p>
          <w:p w:rsidR="00FD042B" w:rsidRPr="00FD042B" w:rsidRDefault="00FD042B" w:rsidP="00FD042B">
            <w:pPr>
              <w:tabs>
                <w:tab w:val="left" w:pos="8280"/>
              </w:tabs>
              <w:ind w:right="26"/>
              <w:jc w:val="center"/>
              <w:rPr>
                <w:rFonts w:ascii="Arial Narrow" w:hAnsi="Arial Narrow"/>
                <w:sz w:val="16"/>
                <w:szCs w:val="16"/>
              </w:rPr>
            </w:pPr>
            <w:r w:rsidRPr="008F2928">
              <w:rPr>
                <w:rFonts w:ascii="Arial Narrow" w:hAnsi="Arial Narrow"/>
                <w:sz w:val="16"/>
                <w:szCs w:val="16"/>
              </w:rPr>
              <w:t>Συγκριτικό Γράφημα</w:t>
            </w:r>
          </w:p>
        </w:tc>
      </w:tr>
    </w:tbl>
    <w:p w:rsidR="00B640C8" w:rsidRPr="007155C3" w:rsidRDefault="00B640C8" w:rsidP="008F2928">
      <w:pPr>
        <w:tabs>
          <w:tab w:val="left" w:pos="8280"/>
        </w:tabs>
        <w:ind w:right="26"/>
        <w:jc w:val="both"/>
        <w:rPr>
          <w:rFonts w:ascii="Arial Narrow" w:hAnsi="Arial Narrow"/>
          <w:b/>
          <w:color w:val="FF0000"/>
        </w:rPr>
      </w:pPr>
    </w:p>
    <w:p w:rsidR="0044567F" w:rsidRDefault="0044567F" w:rsidP="00232E82">
      <w:pPr>
        <w:jc w:val="both"/>
        <w:rPr>
          <w:rFonts w:ascii="Arial Narrow" w:hAnsi="Arial Narrow"/>
          <w:b/>
          <w:u w:val="single"/>
        </w:rPr>
      </w:pPr>
    </w:p>
    <w:p w:rsidR="0044567F" w:rsidRDefault="0044567F" w:rsidP="00232E82">
      <w:pPr>
        <w:jc w:val="both"/>
        <w:rPr>
          <w:rFonts w:ascii="Arial Narrow" w:hAnsi="Arial Narrow"/>
          <w:b/>
          <w:u w:val="single"/>
        </w:rPr>
      </w:pPr>
    </w:p>
    <w:p w:rsidR="0082196A" w:rsidRDefault="00FD042B" w:rsidP="00232E82">
      <w:pPr>
        <w:jc w:val="both"/>
        <w:rPr>
          <w:rFonts w:ascii="Arial Narrow" w:hAnsi="Arial Narrow"/>
          <w:b/>
          <w:u w:val="single"/>
        </w:rPr>
      </w:pPr>
      <w:r>
        <w:rPr>
          <w:rFonts w:ascii="Arial Narrow" w:hAnsi="Arial Narrow"/>
          <w:b/>
          <w:bCs/>
          <w:noProof/>
          <w:sz w:val="16"/>
          <w:szCs w:val="16"/>
        </w:rPr>
        <w:drawing>
          <wp:anchor distT="0" distB="0" distL="114300" distR="114300" simplePos="0" relativeHeight="251677184" behindDoc="0" locked="0" layoutInCell="1" allowOverlap="1">
            <wp:simplePos x="0" y="0"/>
            <wp:positionH relativeFrom="column">
              <wp:posOffset>-257175</wp:posOffset>
            </wp:positionH>
            <wp:positionV relativeFrom="paragraph">
              <wp:posOffset>18415</wp:posOffset>
            </wp:positionV>
            <wp:extent cx="6038850" cy="2857500"/>
            <wp:effectExtent l="0" t="0" r="0" b="0"/>
            <wp:wrapNone/>
            <wp:docPr id="4" name="Γράφημα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82196A" w:rsidRDefault="0082196A" w:rsidP="00232E82">
      <w:pPr>
        <w:jc w:val="both"/>
        <w:rPr>
          <w:rFonts w:ascii="Arial Narrow" w:hAnsi="Arial Narrow"/>
          <w:b/>
          <w:u w:val="single"/>
        </w:rPr>
      </w:pPr>
    </w:p>
    <w:p w:rsidR="00B640C8" w:rsidRPr="0064755D" w:rsidRDefault="00F6557D" w:rsidP="0064755D">
      <w:pPr>
        <w:pStyle w:val="aa"/>
        <w:numPr>
          <w:ilvl w:val="0"/>
          <w:numId w:val="1"/>
        </w:numPr>
        <w:tabs>
          <w:tab w:val="clear" w:pos="1080"/>
          <w:tab w:val="num" w:pos="426"/>
        </w:tabs>
        <w:ind w:hanging="1080"/>
        <w:jc w:val="both"/>
        <w:rPr>
          <w:rFonts w:ascii="Arial Narrow" w:hAnsi="Arial Narrow"/>
          <w:b/>
          <w:u w:val="single"/>
        </w:rPr>
      </w:pPr>
      <w:r w:rsidRPr="0064755D">
        <w:rPr>
          <w:rFonts w:ascii="Arial Narrow" w:hAnsi="Arial Narrow"/>
          <w:b/>
          <w:u w:val="single"/>
        </w:rPr>
        <w:t>ΠΡΟΒΛΕΨΕΙΣ ΓΙΑ ΤΟ 2</w:t>
      </w:r>
      <w:r w:rsidR="004B04BD" w:rsidRPr="0064755D">
        <w:rPr>
          <w:rFonts w:ascii="Arial Narrow" w:hAnsi="Arial Narrow"/>
          <w:b/>
          <w:u w:val="single"/>
        </w:rPr>
        <w:t>ο ΕΞΑΜΗΝΟ 2015</w:t>
      </w:r>
    </w:p>
    <w:p w:rsidR="00B640C8" w:rsidRPr="008F2928" w:rsidRDefault="00B640C8" w:rsidP="008F2928">
      <w:pPr>
        <w:jc w:val="both"/>
        <w:rPr>
          <w:rFonts w:ascii="Arial Narrow" w:hAnsi="Arial Narrow"/>
          <w:b/>
          <w:highlight w:val="yellow"/>
        </w:rPr>
      </w:pPr>
    </w:p>
    <w:p w:rsidR="00261B6C" w:rsidRPr="000C5E52" w:rsidRDefault="00B640C8" w:rsidP="00261B6C">
      <w:pPr>
        <w:ind w:firstLine="720"/>
        <w:jc w:val="both"/>
        <w:rPr>
          <w:rFonts w:ascii="Arial Narrow" w:hAnsi="Arial Narrow"/>
        </w:rPr>
      </w:pPr>
      <w:r w:rsidRPr="008F2928">
        <w:rPr>
          <w:rFonts w:ascii="Arial Narrow" w:hAnsi="Arial Narrow"/>
        </w:rPr>
        <w:t>Οι προβλέψεις σχετικά με την πορεία των επιχειρήσεων το επόμενο εξάμηνο</w:t>
      </w:r>
      <w:r>
        <w:rPr>
          <w:rFonts w:ascii="Arial Narrow" w:hAnsi="Arial Narrow"/>
        </w:rPr>
        <w:t xml:space="preserve"> </w:t>
      </w:r>
      <w:r w:rsidR="00261B6C">
        <w:rPr>
          <w:rFonts w:ascii="Arial Narrow" w:hAnsi="Arial Narrow"/>
        </w:rPr>
        <w:t xml:space="preserve">φέρουν βαρύ το αποτύπωμα από τις πρόσφατες εξελίξεις στις τράπεζες και την πραγματική οικονομία. Μάλιστα, η αβεβαιότητα παραμένει παρά την επίτευξη συμφωνίας (νέο μνημόνιο), γεγονός που αντανακλά την </w:t>
      </w:r>
      <w:r w:rsidR="00D813B1" w:rsidRPr="000C5E52">
        <w:rPr>
          <w:rFonts w:ascii="Arial Narrow" w:hAnsi="Arial Narrow"/>
        </w:rPr>
        <w:t>πραγματική</w:t>
      </w:r>
      <w:r w:rsidR="007155C3" w:rsidRPr="000C5E52">
        <w:rPr>
          <w:rFonts w:ascii="Arial Narrow" w:hAnsi="Arial Narrow"/>
        </w:rPr>
        <w:t xml:space="preserve"> αγωνία για την επόμενη ημέρα της ελληνικής οικονομίας και </w:t>
      </w:r>
      <w:r w:rsidR="00261B6C" w:rsidRPr="000C5E52">
        <w:rPr>
          <w:rFonts w:ascii="Arial Narrow" w:hAnsi="Arial Narrow"/>
        </w:rPr>
        <w:t>την πίεση από το ασφυκτικό πλαίσιο μέσα στο οποίο</w:t>
      </w:r>
      <w:r w:rsidR="000C5E52" w:rsidRPr="000C5E52">
        <w:rPr>
          <w:rFonts w:ascii="Arial Narrow" w:hAnsi="Arial Narrow"/>
        </w:rPr>
        <w:t xml:space="preserve"> αναγκάζονται να</w:t>
      </w:r>
      <w:r w:rsidR="00261B6C" w:rsidRPr="000C5E52">
        <w:rPr>
          <w:rFonts w:ascii="Arial Narrow" w:hAnsi="Arial Narrow"/>
        </w:rPr>
        <w:t xml:space="preserve"> </w:t>
      </w:r>
      <w:r w:rsidR="00BE7AEC" w:rsidRPr="000C5E52">
        <w:rPr>
          <w:rFonts w:ascii="Arial Narrow" w:hAnsi="Arial Narrow"/>
        </w:rPr>
        <w:t>δρ</w:t>
      </w:r>
      <w:r w:rsidR="00D441B3" w:rsidRPr="000C5E52">
        <w:rPr>
          <w:rFonts w:ascii="Arial Narrow" w:hAnsi="Arial Narrow"/>
        </w:rPr>
        <w:t>αστηριοποιούνται</w:t>
      </w:r>
      <w:r w:rsidR="007155C3" w:rsidRPr="000C5E52">
        <w:rPr>
          <w:rFonts w:ascii="Arial Narrow" w:hAnsi="Arial Narrow"/>
        </w:rPr>
        <w:t xml:space="preserve"> οι </w:t>
      </w:r>
      <w:r w:rsidR="00D813B1" w:rsidRPr="000C5E52">
        <w:rPr>
          <w:rFonts w:ascii="Arial Narrow" w:hAnsi="Arial Narrow"/>
        </w:rPr>
        <w:t>μικρές επιχειρήσεις</w:t>
      </w:r>
      <w:r w:rsidR="00F77B83" w:rsidRPr="000C5E52">
        <w:rPr>
          <w:rFonts w:ascii="Arial Narrow" w:hAnsi="Arial Narrow"/>
        </w:rPr>
        <w:t>.</w:t>
      </w:r>
      <w:r w:rsidR="00ED2638" w:rsidRPr="000C5E52">
        <w:rPr>
          <w:rFonts w:ascii="Arial Narrow" w:hAnsi="Arial Narrow"/>
        </w:rPr>
        <w:t xml:space="preserve"> </w:t>
      </w:r>
    </w:p>
    <w:p w:rsidR="00261B6C" w:rsidRPr="000C5E52" w:rsidRDefault="00A83D51" w:rsidP="00261B6C">
      <w:pPr>
        <w:ind w:firstLine="720"/>
        <w:jc w:val="both"/>
        <w:rPr>
          <w:rFonts w:ascii="Arial Narrow" w:hAnsi="Arial Narrow"/>
        </w:rPr>
      </w:pPr>
      <w:r w:rsidRPr="000C5E52">
        <w:rPr>
          <w:rFonts w:ascii="Arial Narrow" w:hAnsi="Arial Narrow"/>
        </w:rPr>
        <w:t xml:space="preserve">Οι </w:t>
      </w:r>
      <w:r w:rsidR="00261B6C" w:rsidRPr="000C5E52">
        <w:rPr>
          <w:rFonts w:ascii="Arial Narrow" w:hAnsi="Arial Narrow"/>
        </w:rPr>
        <w:t xml:space="preserve">αρνητικές </w:t>
      </w:r>
      <w:r w:rsidRPr="000C5E52">
        <w:rPr>
          <w:rFonts w:ascii="Arial Narrow" w:hAnsi="Arial Narrow"/>
        </w:rPr>
        <w:t xml:space="preserve">επιχειρηματικές προσδοκίες για το </w:t>
      </w:r>
      <w:r w:rsidR="00261B6C" w:rsidRPr="000C5E52">
        <w:rPr>
          <w:rFonts w:ascii="Arial Narrow" w:hAnsi="Arial Narrow"/>
        </w:rPr>
        <w:t>δεύτερο</w:t>
      </w:r>
      <w:r w:rsidRPr="000C5E52">
        <w:rPr>
          <w:rFonts w:ascii="Arial Narrow" w:hAnsi="Arial Narrow"/>
        </w:rPr>
        <w:t xml:space="preserve"> εξάμηνο το</w:t>
      </w:r>
      <w:r w:rsidR="007155C3" w:rsidRPr="000C5E52">
        <w:rPr>
          <w:rFonts w:ascii="Arial Narrow" w:hAnsi="Arial Narrow"/>
        </w:rPr>
        <w:t>υ 2015</w:t>
      </w:r>
      <w:r w:rsidR="00CD3C5A" w:rsidRPr="000C5E52">
        <w:rPr>
          <w:rFonts w:ascii="Arial Narrow" w:hAnsi="Arial Narrow"/>
        </w:rPr>
        <w:t xml:space="preserve"> </w:t>
      </w:r>
      <w:r w:rsidR="00261B6C" w:rsidRPr="000C5E52">
        <w:rPr>
          <w:rFonts w:ascii="Arial Narrow" w:hAnsi="Arial Narrow"/>
        </w:rPr>
        <w:t>υπερδιπλασιά</w:t>
      </w:r>
      <w:r w:rsidR="00767247">
        <w:rPr>
          <w:rFonts w:ascii="Arial Narrow" w:hAnsi="Arial Narrow"/>
        </w:rPr>
        <w:t>σ</w:t>
      </w:r>
      <w:r w:rsidR="00261B6C" w:rsidRPr="000C5E52">
        <w:rPr>
          <w:rFonts w:ascii="Arial Narrow" w:hAnsi="Arial Narrow"/>
        </w:rPr>
        <w:t>τηκαν (-67,9 από -31,4)</w:t>
      </w:r>
      <w:r w:rsidR="00B63D20" w:rsidRPr="000C5E52">
        <w:rPr>
          <w:rFonts w:ascii="Arial Narrow" w:hAnsi="Arial Narrow"/>
        </w:rPr>
        <w:t xml:space="preserve">, </w:t>
      </w:r>
      <w:r w:rsidR="00261B6C" w:rsidRPr="000C5E52">
        <w:rPr>
          <w:rFonts w:ascii="Arial Narrow" w:hAnsi="Arial Narrow"/>
        </w:rPr>
        <w:t>με αντίστοιχη μείωση των θετικών</w:t>
      </w:r>
      <w:r w:rsidR="00CD3C5A" w:rsidRPr="000C5E52">
        <w:rPr>
          <w:rFonts w:ascii="Arial Narrow" w:hAnsi="Arial Narrow"/>
        </w:rPr>
        <w:t>.</w:t>
      </w:r>
    </w:p>
    <w:p w:rsidR="00490F37" w:rsidRPr="000C5E52" w:rsidRDefault="00B63D20" w:rsidP="000C5E52">
      <w:pPr>
        <w:ind w:firstLine="720"/>
        <w:jc w:val="both"/>
        <w:rPr>
          <w:rFonts w:ascii="Arial Narrow" w:hAnsi="Arial Narrow"/>
        </w:rPr>
      </w:pPr>
      <w:r w:rsidRPr="000C5E52">
        <w:rPr>
          <w:rFonts w:ascii="Arial Narrow" w:hAnsi="Arial Narrow"/>
        </w:rPr>
        <w:t xml:space="preserve"> </w:t>
      </w:r>
      <w:r w:rsidR="00F318DB" w:rsidRPr="000C5E52">
        <w:rPr>
          <w:rFonts w:ascii="Arial Narrow" w:hAnsi="Arial Narrow"/>
        </w:rPr>
        <w:t xml:space="preserve"> </w:t>
      </w:r>
      <w:r w:rsidR="00CD3C5A" w:rsidRPr="000C5E52">
        <w:rPr>
          <w:rFonts w:ascii="Arial Narrow" w:hAnsi="Arial Narrow"/>
        </w:rPr>
        <w:t xml:space="preserve"> </w:t>
      </w:r>
      <w:r w:rsidR="00261B6C" w:rsidRPr="000C5E52">
        <w:rPr>
          <w:rFonts w:ascii="Arial Narrow" w:hAnsi="Arial Narrow"/>
        </w:rPr>
        <w:t>Σ</w:t>
      </w:r>
      <w:r w:rsidR="00EB7B15" w:rsidRPr="000C5E52">
        <w:rPr>
          <w:rFonts w:ascii="Arial Narrow" w:hAnsi="Arial Narrow"/>
        </w:rPr>
        <w:t>ε</w:t>
      </w:r>
      <w:r w:rsidRPr="000C5E52">
        <w:rPr>
          <w:rFonts w:ascii="Arial Narrow" w:hAnsi="Arial Narrow"/>
        </w:rPr>
        <w:t xml:space="preserve"> όλους τους δείκτες οικονομικών προσδοκιών καταγράφον</w:t>
      </w:r>
      <w:r w:rsidR="00EB7B15" w:rsidRPr="000C5E52">
        <w:rPr>
          <w:rFonts w:ascii="Arial Narrow" w:hAnsi="Arial Narrow"/>
        </w:rPr>
        <w:t xml:space="preserve">ται </w:t>
      </w:r>
      <w:r w:rsidR="00261B6C" w:rsidRPr="000C5E52">
        <w:rPr>
          <w:rFonts w:ascii="Arial Narrow" w:hAnsi="Arial Narrow"/>
        </w:rPr>
        <w:t xml:space="preserve">συντριπτικά </w:t>
      </w:r>
      <w:r w:rsidRPr="000C5E52">
        <w:rPr>
          <w:rFonts w:ascii="Arial Narrow" w:hAnsi="Arial Narrow"/>
        </w:rPr>
        <w:t>αρνητικές επιδόσεις</w:t>
      </w:r>
      <w:r w:rsidR="00F77B83" w:rsidRPr="000C5E52">
        <w:rPr>
          <w:rFonts w:ascii="Arial Narrow" w:hAnsi="Arial Narrow"/>
        </w:rPr>
        <w:t xml:space="preserve"> και </w:t>
      </w:r>
      <w:r w:rsidR="00EB7B15" w:rsidRPr="000C5E52">
        <w:rPr>
          <w:rFonts w:ascii="Arial Narrow" w:hAnsi="Arial Narrow"/>
        </w:rPr>
        <w:t xml:space="preserve">απαισιοδοξία για πάνω από </w:t>
      </w:r>
      <w:r w:rsidR="000C5E52" w:rsidRPr="000C5E52">
        <w:rPr>
          <w:rFonts w:ascii="Arial Narrow" w:hAnsi="Arial Narrow"/>
        </w:rPr>
        <w:t>7 στις 10</w:t>
      </w:r>
      <w:r w:rsidR="00EB7B15" w:rsidRPr="000C5E52">
        <w:rPr>
          <w:rFonts w:ascii="Arial Narrow" w:hAnsi="Arial Narrow"/>
        </w:rPr>
        <w:t xml:space="preserve"> επιχειρήσεις. </w:t>
      </w:r>
      <w:r w:rsidR="00A83D51" w:rsidRPr="000C5E52">
        <w:rPr>
          <w:rFonts w:ascii="Arial Narrow" w:hAnsi="Arial Narrow"/>
        </w:rPr>
        <w:t>Σημειώνεται ότι ο</w:t>
      </w:r>
      <w:r w:rsidR="00B640C8" w:rsidRPr="000C5E52">
        <w:rPr>
          <w:rFonts w:ascii="Arial Narrow" w:hAnsi="Arial Narrow"/>
        </w:rPr>
        <w:t xml:space="preserve"> βαθμός απαισιοδοξίας είναι μεγαλύτερος στις </w:t>
      </w:r>
      <w:r w:rsidRPr="000C5E52">
        <w:rPr>
          <w:rFonts w:ascii="Arial Narrow" w:hAnsi="Arial Narrow"/>
        </w:rPr>
        <w:t>πολύ</w:t>
      </w:r>
      <w:r w:rsidR="00B640C8" w:rsidRPr="000C5E52">
        <w:rPr>
          <w:rFonts w:ascii="Arial Narrow" w:hAnsi="Arial Narrow"/>
        </w:rPr>
        <w:t xml:space="preserve"> μικρές επιχειρήσεις του δείγματος.</w:t>
      </w:r>
    </w:p>
    <w:p w:rsidR="00B640C8" w:rsidRDefault="00A83D51" w:rsidP="008F2928">
      <w:pPr>
        <w:jc w:val="both"/>
        <w:rPr>
          <w:rFonts w:ascii="Arial Narrow" w:hAnsi="Arial Narrow"/>
        </w:rPr>
      </w:pPr>
      <w:r>
        <w:rPr>
          <w:rFonts w:ascii="Arial Narrow" w:hAnsi="Arial Narrow"/>
        </w:rPr>
        <w:t>Σ</w:t>
      </w:r>
      <w:r w:rsidR="000C5E52">
        <w:rPr>
          <w:rFonts w:ascii="Arial Narrow" w:hAnsi="Arial Narrow"/>
        </w:rPr>
        <w:t>υγκεκριμένα, σ</w:t>
      </w:r>
      <w:r>
        <w:rPr>
          <w:rFonts w:ascii="Arial Narrow" w:hAnsi="Arial Narrow"/>
        </w:rPr>
        <w:t>τους ειδικότερους δείκτες</w:t>
      </w:r>
      <w:r w:rsidR="00B640C8">
        <w:rPr>
          <w:rFonts w:ascii="Arial Narrow" w:hAnsi="Arial Narrow"/>
        </w:rPr>
        <w:t xml:space="preserve">, </w:t>
      </w:r>
      <w:r w:rsidR="00D813B1">
        <w:rPr>
          <w:rFonts w:ascii="Arial Narrow" w:hAnsi="Arial Narrow"/>
        </w:rPr>
        <w:t xml:space="preserve">το ισοζύγιο θετικών- αρνητικών προσδοκιών που προβλέπεται για το επόμενο εξάμηνο </w:t>
      </w:r>
      <w:r w:rsidR="00AF089D">
        <w:rPr>
          <w:rFonts w:ascii="Arial Narrow" w:hAnsi="Arial Narrow"/>
        </w:rPr>
        <w:t>εμφανίζεται σοβαρά επιδεινούμενο</w:t>
      </w:r>
      <w:r w:rsidR="00B640C8" w:rsidRPr="008F2928">
        <w:rPr>
          <w:rFonts w:ascii="Arial Narrow" w:hAnsi="Arial Narrow"/>
        </w:rPr>
        <w:t>:</w:t>
      </w:r>
    </w:p>
    <w:p w:rsidR="00B640C8" w:rsidRPr="008F2928" w:rsidRDefault="00B640C8" w:rsidP="008F2928">
      <w:pPr>
        <w:jc w:val="both"/>
        <w:rPr>
          <w:rFonts w:ascii="Arial Narrow" w:hAnsi="Arial Narrow"/>
        </w:rPr>
      </w:pPr>
    </w:p>
    <w:p w:rsidR="00B640C8" w:rsidRPr="00C53A06" w:rsidRDefault="00D813B1" w:rsidP="00D156EE">
      <w:pPr>
        <w:numPr>
          <w:ilvl w:val="0"/>
          <w:numId w:val="3"/>
        </w:numPr>
        <w:jc w:val="both"/>
        <w:rPr>
          <w:rFonts w:ascii="Arial Narrow" w:hAnsi="Arial Narrow"/>
          <w:b/>
        </w:rPr>
      </w:pPr>
      <w:r>
        <w:rPr>
          <w:rFonts w:ascii="Arial Narrow" w:hAnsi="Arial Narrow"/>
          <w:b/>
        </w:rPr>
        <w:t>στον κύκλο εργασιών,</w:t>
      </w:r>
      <w:r w:rsidR="00AF089D">
        <w:rPr>
          <w:rFonts w:ascii="Arial Narrow" w:hAnsi="Arial Narrow"/>
          <w:b/>
        </w:rPr>
        <w:t xml:space="preserve"> ο δείκτης είναι στο -62,6 από </w:t>
      </w:r>
      <w:r>
        <w:rPr>
          <w:rFonts w:ascii="Arial Narrow" w:hAnsi="Arial Narrow"/>
          <w:b/>
        </w:rPr>
        <w:t xml:space="preserve"> -12,3 στο προηγούμενο εξάμηνο</w:t>
      </w:r>
    </w:p>
    <w:p w:rsidR="00B640C8" w:rsidRPr="00C53A06" w:rsidRDefault="00B640C8" w:rsidP="00D156EE">
      <w:pPr>
        <w:numPr>
          <w:ilvl w:val="0"/>
          <w:numId w:val="3"/>
        </w:numPr>
        <w:jc w:val="both"/>
        <w:rPr>
          <w:rFonts w:ascii="Arial Narrow" w:hAnsi="Arial Narrow"/>
          <w:b/>
        </w:rPr>
      </w:pPr>
      <w:r w:rsidRPr="00C53A06">
        <w:rPr>
          <w:rFonts w:ascii="Arial Narrow" w:hAnsi="Arial Narrow"/>
          <w:b/>
        </w:rPr>
        <w:t>στη ζήτηση</w:t>
      </w:r>
      <w:r w:rsidR="00AF089D">
        <w:rPr>
          <w:rFonts w:ascii="Arial Narrow" w:hAnsi="Arial Narrow"/>
          <w:b/>
        </w:rPr>
        <w:t>,</w:t>
      </w:r>
      <w:r w:rsidRPr="00C53A06">
        <w:rPr>
          <w:rFonts w:ascii="Arial Narrow" w:hAnsi="Arial Narrow"/>
          <w:b/>
        </w:rPr>
        <w:t xml:space="preserve"> </w:t>
      </w:r>
      <w:r w:rsidR="00AF089D">
        <w:rPr>
          <w:rFonts w:ascii="Arial Narrow" w:hAnsi="Arial Narrow"/>
          <w:b/>
        </w:rPr>
        <w:t>-59,5 από</w:t>
      </w:r>
      <w:r w:rsidRPr="00C53A06">
        <w:rPr>
          <w:rFonts w:ascii="Arial Narrow" w:hAnsi="Arial Narrow"/>
          <w:b/>
        </w:rPr>
        <w:t xml:space="preserve"> </w:t>
      </w:r>
      <w:r w:rsidR="00D813B1">
        <w:rPr>
          <w:rFonts w:ascii="Arial Narrow" w:hAnsi="Arial Narrow"/>
          <w:b/>
        </w:rPr>
        <w:t>-11,0 στο προηγούμενο εξάμηνο</w:t>
      </w:r>
    </w:p>
    <w:p w:rsidR="00B640C8" w:rsidRPr="00C53A06" w:rsidRDefault="00D813B1" w:rsidP="00D156EE">
      <w:pPr>
        <w:numPr>
          <w:ilvl w:val="0"/>
          <w:numId w:val="3"/>
        </w:numPr>
        <w:jc w:val="both"/>
        <w:rPr>
          <w:rFonts w:ascii="Arial Narrow" w:hAnsi="Arial Narrow"/>
          <w:b/>
        </w:rPr>
      </w:pPr>
      <w:r>
        <w:rPr>
          <w:rFonts w:ascii="Arial Narrow" w:hAnsi="Arial Narrow"/>
          <w:b/>
        </w:rPr>
        <w:t>στη ρευστότητα</w:t>
      </w:r>
      <w:r w:rsidR="00AF089D">
        <w:rPr>
          <w:rFonts w:ascii="Arial Narrow" w:hAnsi="Arial Narrow"/>
          <w:b/>
        </w:rPr>
        <w:t>, -65,2 από</w:t>
      </w:r>
      <w:r>
        <w:rPr>
          <w:rFonts w:ascii="Arial Narrow" w:hAnsi="Arial Narrow"/>
          <w:b/>
        </w:rPr>
        <w:t xml:space="preserve"> -17,0 στο προηγούμενο εξάμηνο</w:t>
      </w:r>
    </w:p>
    <w:p w:rsidR="00B640C8" w:rsidRPr="00C53A06" w:rsidRDefault="00AF089D" w:rsidP="00D156EE">
      <w:pPr>
        <w:numPr>
          <w:ilvl w:val="0"/>
          <w:numId w:val="3"/>
        </w:numPr>
        <w:jc w:val="both"/>
        <w:rPr>
          <w:rFonts w:ascii="Arial Narrow" w:hAnsi="Arial Narrow"/>
          <w:b/>
        </w:rPr>
      </w:pPr>
      <w:r>
        <w:rPr>
          <w:rFonts w:ascii="Arial Narrow" w:hAnsi="Arial Narrow"/>
          <w:b/>
        </w:rPr>
        <w:t>στις παραγγελίες, -63,4 από -15,8</w:t>
      </w:r>
      <w:r w:rsidR="00B640C8" w:rsidRPr="00C53A06">
        <w:rPr>
          <w:rFonts w:ascii="Arial Narrow" w:hAnsi="Arial Narrow"/>
          <w:b/>
        </w:rPr>
        <w:t xml:space="preserve"> </w:t>
      </w:r>
      <w:r w:rsidR="00741635">
        <w:rPr>
          <w:rFonts w:ascii="Arial Narrow" w:hAnsi="Arial Narrow"/>
          <w:b/>
        </w:rPr>
        <w:t>στο προηγούμενο εξάμηνο</w:t>
      </w:r>
    </w:p>
    <w:p w:rsidR="00B640C8" w:rsidRDefault="00B640C8" w:rsidP="00D156EE">
      <w:pPr>
        <w:numPr>
          <w:ilvl w:val="0"/>
          <w:numId w:val="3"/>
        </w:numPr>
        <w:jc w:val="both"/>
        <w:rPr>
          <w:rFonts w:ascii="Arial Narrow" w:hAnsi="Arial Narrow"/>
          <w:b/>
        </w:rPr>
      </w:pPr>
      <w:r w:rsidRPr="00C53A06">
        <w:rPr>
          <w:rFonts w:ascii="Arial Narrow" w:hAnsi="Arial Narrow"/>
          <w:b/>
        </w:rPr>
        <w:t xml:space="preserve">στις επενδύσεις: αύξηση προβλέπει το </w:t>
      </w:r>
      <w:r w:rsidR="00AF089D">
        <w:rPr>
          <w:rFonts w:ascii="Arial Narrow" w:hAnsi="Arial Narrow"/>
          <w:b/>
        </w:rPr>
        <w:t xml:space="preserve">2,6% (από </w:t>
      </w:r>
      <w:r w:rsidR="00D813B1">
        <w:rPr>
          <w:rFonts w:ascii="Arial Narrow" w:hAnsi="Arial Narrow"/>
          <w:b/>
        </w:rPr>
        <w:t>13,2</w:t>
      </w:r>
      <w:r w:rsidRPr="00C53A06">
        <w:rPr>
          <w:rFonts w:ascii="Arial Narrow" w:hAnsi="Arial Narrow"/>
          <w:b/>
        </w:rPr>
        <w:t>%</w:t>
      </w:r>
      <w:r w:rsidR="00AF089D">
        <w:rPr>
          <w:rFonts w:ascii="Arial Narrow" w:hAnsi="Arial Narrow"/>
          <w:b/>
        </w:rPr>
        <w:t>)</w:t>
      </w:r>
      <w:r w:rsidRPr="00C53A06">
        <w:rPr>
          <w:rFonts w:ascii="Arial Narrow" w:hAnsi="Arial Narrow"/>
          <w:b/>
        </w:rPr>
        <w:t xml:space="preserve">, μείωση το </w:t>
      </w:r>
      <w:r w:rsidR="00AF089D">
        <w:rPr>
          <w:rFonts w:ascii="Arial Narrow" w:hAnsi="Arial Narrow"/>
          <w:b/>
        </w:rPr>
        <w:t>46,6</w:t>
      </w:r>
      <w:r w:rsidR="00D813B1">
        <w:rPr>
          <w:rFonts w:ascii="Arial Narrow" w:hAnsi="Arial Narrow"/>
          <w:b/>
        </w:rPr>
        <w:t>% και σταθεροποίηση</w:t>
      </w:r>
      <w:r w:rsidRPr="00C53A06">
        <w:rPr>
          <w:rFonts w:ascii="Arial Narrow" w:hAnsi="Arial Narrow"/>
          <w:b/>
        </w:rPr>
        <w:t xml:space="preserve"> το </w:t>
      </w:r>
      <w:r w:rsidR="00AF089D">
        <w:rPr>
          <w:rFonts w:ascii="Arial Narrow" w:hAnsi="Arial Narrow"/>
          <w:b/>
        </w:rPr>
        <w:t>44,4</w:t>
      </w:r>
      <w:r w:rsidRPr="00C53A06">
        <w:rPr>
          <w:rFonts w:ascii="Arial Narrow" w:hAnsi="Arial Narrow"/>
          <w:b/>
        </w:rPr>
        <w:t>%</w:t>
      </w:r>
    </w:p>
    <w:p w:rsidR="00741635" w:rsidRPr="00741635" w:rsidRDefault="00741635" w:rsidP="00741635">
      <w:pPr>
        <w:ind w:left="360"/>
        <w:jc w:val="both"/>
        <w:rPr>
          <w:rFonts w:ascii="Arial Narrow" w:hAnsi="Arial Narrow"/>
        </w:rPr>
      </w:pPr>
      <w:r w:rsidRPr="00741635">
        <w:rPr>
          <w:rFonts w:ascii="Arial Narrow" w:hAnsi="Arial Narrow"/>
        </w:rPr>
        <w:t>Ενδιαφέρον παρουσιάζει η πρόβλεψη για αύξηση των τιμών των αγαθών και υπηρεσιών από το 12,6% των επιχειρήσεων, ποσοστό υπερδιπλάσιο από εκείνες που απαντούν ότι αύξησαν τις τιμές στο προηγούμενο εξάμηνο (4,8%), προεξοφλώντας ενδεχομένως τις επιπτώσεις από τη γενικευμένη αύξηση του ΦΠΑ και των υπόλοιπων φόρων.</w:t>
      </w:r>
    </w:p>
    <w:p w:rsidR="00B640C8" w:rsidRPr="002C14D4" w:rsidRDefault="00B640C8" w:rsidP="0096076B">
      <w:pPr>
        <w:rPr>
          <w:rFonts w:ascii="Arial Narrow" w:hAnsi="Arial Narrow"/>
          <w:color w:val="FF0000"/>
        </w:rPr>
      </w:pPr>
    </w:p>
    <w:p w:rsidR="00B640C8" w:rsidRDefault="00B640C8" w:rsidP="009D0CF2">
      <w:pPr>
        <w:rPr>
          <w:rFonts w:ascii="Arial Narrow" w:hAnsi="Arial Narrow"/>
        </w:rPr>
      </w:pPr>
    </w:p>
    <w:p w:rsidR="00B640C8" w:rsidRPr="00232E82" w:rsidRDefault="00B640C8" w:rsidP="00232E82">
      <w:pPr>
        <w:ind w:left="357"/>
        <w:jc w:val="both"/>
        <w:rPr>
          <w:rFonts w:ascii="Arial Narrow" w:hAnsi="Arial Narrow"/>
          <w:b/>
          <w:bCs/>
          <w:u w:val="single"/>
        </w:rPr>
      </w:pPr>
      <w:r w:rsidRPr="0096076B">
        <w:rPr>
          <w:rFonts w:ascii="Arial Narrow" w:hAnsi="Arial Narrow"/>
          <w:b/>
          <w:bCs/>
          <w:u w:val="single"/>
        </w:rPr>
        <w:t xml:space="preserve">ΠΡΟΒΛΕΨΗ ΕΠΟΜΕΝΟΥ ΕΞΑΜΗΝΟΥ- </w:t>
      </w:r>
      <w:r w:rsidR="00CD4D87">
        <w:rPr>
          <w:rFonts w:ascii="Arial Narrow" w:hAnsi="Arial Narrow"/>
          <w:b/>
          <w:bCs/>
          <w:u w:val="single"/>
        </w:rPr>
        <w:t>ΓΡΑΦΗΜΑ</w:t>
      </w:r>
      <w:r>
        <w:rPr>
          <w:rFonts w:ascii="Arial Narrow" w:hAnsi="Arial Narrow"/>
          <w:b/>
          <w:bCs/>
          <w:u w:val="single"/>
        </w:rPr>
        <w:t xml:space="preserve"> 4</w:t>
      </w:r>
    </w:p>
    <w:p w:rsidR="00B640C8" w:rsidRDefault="00B640C8" w:rsidP="008F2928">
      <w:pPr>
        <w:ind w:left="357"/>
        <w:jc w:val="both"/>
        <w:rPr>
          <w:rFonts w:ascii="Arial Narrow" w:hAnsi="Arial Narrow"/>
        </w:rPr>
      </w:pPr>
    </w:p>
    <w:p w:rsidR="00B640C8" w:rsidRDefault="000C5E52" w:rsidP="008F2928">
      <w:pPr>
        <w:ind w:left="357"/>
        <w:jc w:val="both"/>
        <w:rPr>
          <w:rFonts w:ascii="Arial Narrow" w:hAnsi="Arial Narrow"/>
        </w:rPr>
      </w:pPr>
      <w:r>
        <w:rPr>
          <w:rFonts w:ascii="Arial Narrow" w:hAnsi="Arial Narrow"/>
          <w:noProof/>
        </w:rPr>
        <w:drawing>
          <wp:anchor distT="0" distB="0" distL="114300" distR="114300" simplePos="0" relativeHeight="251686400" behindDoc="0" locked="0" layoutInCell="1" allowOverlap="1">
            <wp:simplePos x="0" y="0"/>
            <wp:positionH relativeFrom="column">
              <wp:posOffset>45188</wp:posOffset>
            </wp:positionH>
            <wp:positionV relativeFrom="paragraph">
              <wp:posOffset>95605</wp:posOffset>
            </wp:positionV>
            <wp:extent cx="6326372" cy="3466214"/>
            <wp:effectExtent l="0" t="0" r="0" b="0"/>
            <wp:wrapNone/>
            <wp:docPr id="24" name="Γράφημα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Default="00B640C8" w:rsidP="008F2928">
      <w:pPr>
        <w:ind w:left="357"/>
        <w:jc w:val="both"/>
        <w:rPr>
          <w:rFonts w:ascii="Arial Narrow" w:hAnsi="Arial Narrow"/>
        </w:rPr>
      </w:pPr>
    </w:p>
    <w:p w:rsidR="00B640C8" w:rsidRPr="008F2928" w:rsidRDefault="00B640C8" w:rsidP="00E54F10">
      <w:pPr>
        <w:jc w:val="both"/>
        <w:rPr>
          <w:rFonts w:ascii="Arial Narrow" w:hAnsi="Arial Narrow"/>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2C14D4" w:rsidRDefault="002C14D4" w:rsidP="00232E82">
      <w:pPr>
        <w:jc w:val="both"/>
        <w:rPr>
          <w:rFonts w:ascii="Arial Narrow" w:hAnsi="Arial Narrow"/>
          <w:b/>
          <w:u w:val="single"/>
        </w:rPr>
      </w:pPr>
    </w:p>
    <w:p w:rsidR="00C53A06" w:rsidRDefault="00C53A06" w:rsidP="00232E82">
      <w:pPr>
        <w:jc w:val="both"/>
        <w:rPr>
          <w:rFonts w:ascii="Arial Narrow" w:hAnsi="Arial Narrow"/>
          <w:b/>
          <w:u w:val="single"/>
        </w:rPr>
      </w:pPr>
    </w:p>
    <w:p w:rsidR="00B640C8" w:rsidRDefault="00B640C8" w:rsidP="00232E82">
      <w:pPr>
        <w:jc w:val="both"/>
        <w:rPr>
          <w:rFonts w:ascii="Arial Narrow" w:hAnsi="Arial Narrow"/>
          <w:b/>
          <w:u w:val="single"/>
        </w:rPr>
      </w:pPr>
    </w:p>
    <w:p w:rsidR="00D813B1" w:rsidRDefault="00D813B1" w:rsidP="00102644">
      <w:pPr>
        <w:jc w:val="both"/>
        <w:rPr>
          <w:rFonts w:ascii="Arial Narrow" w:hAnsi="Arial Narrow"/>
          <w:b/>
          <w:u w:val="single"/>
        </w:rPr>
      </w:pPr>
    </w:p>
    <w:p w:rsidR="00D813B1" w:rsidRDefault="00D813B1" w:rsidP="00D813B1">
      <w:pPr>
        <w:ind w:left="360"/>
        <w:jc w:val="both"/>
        <w:rPr>
          <w:rFonts w:ascii="Arial Narrow" w:hAnsi="Arial Narrow"/>
          <w:b/>
          <w:u w:val="single"/>
        </w:rPr>
      </w:pPr>
    </w:p>
    <w:p w:rsidR="00B640C8" w:rsidRPr="008F2928" w:rsidRDefault="00B640C8" w:rsidP="0064755D">
      <w:pPr>
        <w:numPr>
          <w:ilvl w:val="0"/>
          <w:numId w:val="1"/>
        </w:numPr>
        <w:tabs>
          <w:tab w:val="clear" w:pos="1080"/>
        </w:tabs>
        <w:ind w:left="567" w:hanging="425"/>
        <w:jc w:val="both"/>
        <w:rPr>
          <w:rFonts w:ascii="Arial Narrow" w:hAnsi="Arial Narrow"/>
          <w:b/>
          <w:u w:val="single"/>
        </w:rPr>
      </w:pPr>
      <w:r w:rsidRPr="008F2928">
        <w:rPr>
          <w:rFonts w:ascii="Arial Narrow" w:hAnsi="Arial Narrow"/>
          <w:b/>
          <w:u w:val="single"/>
        </w:rPr>
        <w:lastRenderedPageBreak/>
        <w:t>ΑΠΑΣΧΟΛΗΣΗ – ΣΥΝΘΗΚΕΣ ΕΡΓΑΣΙΑΣ - ΜΙΣΘΟΙ</w:t>
      </w:r>
    </w:p>
    <w:p w:rsidR="00B640C8" w:rsidRPr="00873618" w:rsidRDefault="00B640C8" w:rsidP="008F2928">
      <w:pPr>
        <w:jc w:val="both"/>
        <w:rPr>
          <w:rFonts w:ascii="Arial Narrow" w:hAnsi="Arial Narrow"/>
        </w:rPr>
      </w:pPr>
    </w:p>
    <w:p w:rsidR="00B640C8" w:rsidRPr="00C462DA" w:rsidRDefault="00B640C8" w:rsidP="00C462DA">
      <w:pPr>
        <w:pStyle w:val="aa"/>
        <w:numPr>
          <w:ilvl w:val="0"/>
          <w:numId w:val="4"/>
        </w:numPr>
        <w:jc w:val="both"/>
        <w:rPr>
          <w:rFonts w:ascii="Arial Narrow" w:hAnsi="Arial Narrow"/>
        </w:rPr>
      </w:pPr>
      <w:r w:rsidRPr="00C462DA">
        <w:rPr>
          <w:rFonts w:ascii="Arial Narrow" w:hAnsi="Arial Narrow"/>
        </w:rPr>
        <w:t>Οι</w:t>
      </w:r>
      <w:r w:rsidRPr="00C462DA">
        <w:rPr>
          <w:rFonts w:ascii="Arial Narrow" w:hAnsi="Arial Narrow"/>
          <w:color w:val="FF0000"/>
        </w:rPr>
        <w:t xml:space="preserve"> </w:t>
      </w:r>
      <w:r w:rsidRPr="00C462DA">
        <w:rPr>
          <w:rFonts w:ascii="Arial Narrow" w:hAnsi="Arial Narrow"/>
        </w:rPr>
        <w:t xml:space="preserve">επιπτώσεις της </w:t>
      </w:r>
      <w:r w:rsidR="00C462DA">
        <w:rPr>
          <w:rFonts w:ascii="Arial Narrow" w:hAnsi="Arial Narrow"/>
        </w:rPr>
        <w:t xml:space="preserve">πρόσφατης </w:t>
      </w:r>
      <w:r w:rsidRPr="00C462DA">
        <w:rPr>
          <w:rFonts w:ascii="Arial Narrow" w:hAnsi="Arial Narrow"/>
        </w:rPr>
        <w:t xml:space="preserve">κρίσης </w:t>
      </w:r>
      <w:r w:rsidR="00093261" w:rsidRPr="00C462DA">
        <w:rPr>
          <w:rFonts w:ascii="Arial Narrow" w:hAnsi="Arial Narrow"/>
        </w:rPr>
        <w:t>στην απασχόληση</w:t>
      </w:r>
      <w:r w:rsidRPr="00C462DA">
        <w:rPr>
          <w:rFonts w:ascii="Arial Narrow" w:hAnsi="Arial Narrow"/>
          <w:color w:val="FF0000"/>
        </w:rPr>
        <w:t xml:space="preserve"> </w:t>
      </w:r>
      <w:r w:rsidR="00093261" w:rsidRPr="00C462DA">
        <w:rPr>
          <w:rFonts w:ascii="Arial Narrow" w:hAnsi="Arial Narrow"/>
        </w:rPr>
        <w:t>είναι προφανείς</w:t>
      </w:r>
      <w:r w:rsidRPr="00C462DA">
        <w:rPr>
          <w:rFonts w:ascii="Arial Narrow" w:hAnsi="Arial Narrow"/>
          <w:color w:val="FF0000"/>
        </w:rPr>
        <w:t xml:space="preserve">. </w:t>
      </w:r>
      <w:r w:rsidR="00D156EE" w:rsidRPr="00C462DA">
        <w:rPr>
          <w:rFonts w:ascii="Arial Narrow" w:hAnsi="Arial Narrow"/>
        </w:rPr>
        <w:t>Μείωση προσωπικού κατά το</w:t>
      </w:r>
      <w:r w:rsidR="0071557C" w:rsidRPr="00C462DA">
        <w:rPr>
          <w:rFonts w:ascii="Arial Narrow" w:hAnsi="Arial Narrow"/>
        </w:rPr>
        <w:t xml:space="preserve"> τε</w:t>
      </w:r>
      <w:r w:rsidR="00C00536" w:rsidRPr="00C462DA">
        <w:rPr>
          <w:rFonts w:ascii="Arial Narrow" w:hAnsi="Arial Narrow"/>
        </w:rPr>
        <w:t xml:space="preserve">λευταίο εξάμηνο ανέφερε το </w:t>
      </w:r>
      <w:r w:rsidR="00C462DA" w:rsidRPr="00C462DA">
        <w:rPr>
          <w:rFonts w:ascii="Arial Narrow" w:hAnsi="Arial Narrow"/>
        </w:rPr>
        <w:t>11</w:t>
      </w:r>
      <w:r w:rsidR="00D156EE" w:rsidRPr="00C462DA">
        <w:rPr>
          <w:rFonts w:ascii="Arial Narrow" w:hAnsi="Arial Narrow"/>
        </w:rPr>
        <w:t xml:space="preserve">% των επιχειρήσεων ενώ αύξηση ανέφερε </w:t>
      </w:r>
      <w:r w:rsidR="00C462DA" w:rsidRPr="00C462DA">
        <w:rPr>
          <w:rFonts w:ascii="Arial Narrow" w:hAnsi="Arial Narrow"/>
        </w:rPr>
        <w:t>μόλις</w:t>
      </w:r>
      <w:r w:rsidR="00D156EE" w:rsidRPr="00C462DA">
        <w:rPr>
          <w:rFonts w:ascii="Arial Narrow" w:hAnsi="Arial Narrow"/>
        </w:rPr>
        <w:t xml:space="preserve"> </w:t>
      </w:r>
      <w:r w:rsidR="00C462DA" w:rsidRPr="00C462DA">
        <w:rPr>
          <w:rFonts w:ascii="Arial Narrow" w:hAnsi="Arial Narrow"/>
        </w:rPr>
        <w:t>το 4,8</w:t>
      </w:r>
      <w:r w:rsidR="00D156EE" w:rsidRPr="00C462DA">
        <w:rPr>
          <w:rFonts w:ascii="Arial Narrow" w:hAnsi="Arial Narrow"/>
        </w:rPr>
        <w:t>%.</w:t>
      </w:r>
      <w:r w:rsidR="00C462DA" w:rsidRPr="00C462DA">
        <w:rPr>
          <w:rFonts w:ascii="Arial Narrow" w:hAnsi="Arial Narrow"/>
        </w:rPr>
        <w:t xml:space="preserve"> </w:t>
      </w:r>
    </w:p>
    <w:p w:rsidR="00C462DA" w:rsidRPr="00C462DA" w:rsidRDefault="00C462DA" w:rsidP="00C462DA">
      <w:pPr>
        <w:pStyle w:val="aa"/>
        <w:numPr>
          <w:ilvl w:val="0"/>
          <w:numId w:val="4"/>
        </w:numPr>
        <w:jc w:val="both"/>
        <w:rPr>
          <w:rFonts w:ascii="Arial Narrow" w:hAnsi="Arial Narrow"/>
        </w:rPr>
      </w:pPr>
      <w:r>
        <w:rPr>
          <w:rFonts w:ascii="Arial Narrow" w:hAnsi="Arial Narrow"/>
        </w:rPr>
        <w:t xml:space="preserve">Ανησυχητική είναι η εικόνα σχετικά με τις μελλοντικές ροές απασχόλησης. </w:t>
      </w:r>
      <w:r w:rsidRPr="00873618">
        <w:rPr>
          <w:rFonts w:ascii="Arial Narrow" w:hAnsi="Arial Narrow"/>
        </w:rPr>
        <w:t xml:space="preserve">Οι </w:t>
      </w:r>
      <w:r>
        <w:rPr>
          <w:rFonts w:ascii="Arial Narrow" w:hAnsi="Arial Narrow"/>
        </w:rPr>
        <w:t>προοπτικές για το επόμενο εξάμηνο παραμένουν αρνητικές, καθώς σχεδόν 1 στις 4 επιχειρήσεις προβλέπει μείωση του απασχολούμενου προσωπικού.</w:t>
      </w:r>
      <w:r w:rsidR="00DE6CC0">
        <w:rPr>
          <w:rFonts w:ascii="Arial Narrow" w:hAnsi="Arial Narrow"/>
        </w:rPr>
        <w:t xml:space="preserve"> Έντονο παρουσιάζεται το φαινόμενο στις επιχειρήσεις μεγαλύτερου μεγέθους (που απασχολούν από 5 άτομα και άνω) όπου είναι εμφανής η πρόθεσή τους να προβούν σε νέα αναδιάρθρωση των θέσεων </w:t>
      </w:r>
      <w:r w:rsidR="005E1544">
        <w:rPr>
          <w:rFonts w:ascii="Arial Narrow" w:hAnsi="Arial Narrow"/>
        </w:rPr>
        <w:t xml:space="preserve">και του κόστους </w:t>
      </w:r>
      <w:r w:rsidR="00DE6CC0">
        <w:rPr>
          <w:rFonts w:ascii="Arial Narrow" w:hAnsi="Arial Narrow"/>
        </w:rPr>
        <w:t>απασχόλησης, προκειμένου να ανταποκριθούν</w:t>
      </w:r>
      <w:r w:rsidR="005E1544">
        <w:rPr>
          <w:rFonts w:ascii="Arial Narrow" w:hAnsi="Arial Narrow"/>
        </w:rPr>
        <w:t xml:space="preserve"> στα νέα οικονομικά βάρη και την αναιμική αναπτυξιακή προοπτική. Σε αντιδιαστολή, οι πολύ μικρές επιχειρήσεις και οι </w:t>
      </w:r>
      <w:proofErr w:type="spellStart"/>
      <w:r w:rsidR="005E1544">
        <w:rPr>
          <w:rFonts w:ascii="Arial Narrow" w:hAnsi="Arial Narrow"/>
        </w:rPr>
        <w:t>αυτοπασχολούμενοι</w:t>
      </w:r>
      <w:proofErr w:type="spellEnd"/>
      <w:r w:rsidR="005E1544">
        <w:rPr>
          <w:rFonts w:ascii="Arial Narrow" w:hAnsi="Arial Narrow"/>
        </w:rPr>
        <w:t xml:space="preserve"> αναμένεται να θέσουν εαυτόν σε κατάσταση αργίας, ενισχύοντας έμμεσα τον άτυπο τομέα της οικονομίας.</w:t>
      </w:r>
    </w:p>
    <w:p w:rsidR="00BA7AA3" w:rsidRPr="00BE45C5" w:rsidRDefault="00D156EE" w:rsidP="00351D2B">
      <w:pPr>
        <w:numPr>
          <w:ilvl w:val="0"/>
          <w:numId w:val="4"/>
        </w:numPr>
        <w:rPr>
          <w:rFonts w:ascii="Arial Narrow" w:hAnsi="Arial Narrow"/>
          <w:color w:val="FF0000"/>
        </w:rPr>
      </w:pPr>
      <w:r w:rsidRPr="00BF7A7D">
        <w:rPr>
          <w:rFonts w:ascii="Arial Narrow" w:hAnsi="Arial Narrow"/>
          <w:b/>
        </w:rPr>
        <w:t xml:space="preserve">Σε απόλυτα μεγέθη η απώλεια θέσεων </w:t>
      </w:r>
      <w:r w:rsidR="00BF7A7D">
        <w:rPr>
          <w:rFonts w:ascii="Arial Narrow" w:hAnsi="Arial Narrow"/>
          <w:b/>
        </w:rPr>
        <w:t>συνολικής</w:t>
      </w:r>
      <w:r w:rsidR="003638B1" w:rsidRPr="00BF7A7D">
        <w:rPr>
          <w:rFonts w:ascii="Arial Narrow" w:hAnsi="Arial Narrow"/>
          <w:b/>
        </w:rPr>
        <w:t xml:space="preserve"> απασχόλησης</w:t>
      </w:r>
      <w:r w:rsidRPr="00BF7A7D">
        <w:rPr>
          <w:rFonts w:ascii="Arial Narrow" w:hAnsi="Arial Narrow"/>
          <w:b/>
        </w:rPr>
        <w:t xml:space="preserve"> </w:t>
      </w:r>
      <w:r w:rsidR="00C00536" w:rsidRPr="00BF7A7D">
        <w:rPr>
          <w:rFonts w:ascii="Arial Narrow" w:hAnsi="Arial Narrow"/>
          <w:b/>
        </w:rPr>
        <w:t>στις μικρές</w:t>
      </w:r>
      <w:r w:rsidR="0071557C" w:rsidRPr="00BF7A7D">
        <w:rPr>
          <w:rFonts w:ascii="Arial Narrow" w:hAnsi="Arial Narrow"/>
          <w:b/>
        </w:rPr>
        <w:t xml:space="preserve"> </w:t>
      </w:r>
      <w:r w:rsidR="00463BBE">
        <w:rPr>
          <w:rFonts w:ascii="Arial Narrow" w:hAnsi="Arial Narrow"/>
          <w:b/>
        </w:rPr>
        <w:t xml:space="preserve">και πολύ μικρές </w:t>
      </w:r>
      <w:r w:rsidR="0071557C" w:rsidRPr="00BF7A7D">
        <w:rPr>
          <w:rFonts w:ascii="Arial Narrow" w:hAnsi="Arial Narrow"/>
          <w:b/>
        </w:rPr>
        <w:t xml:space="preserve">επιχειρήσεις </w:t>
      </w:r>
      <w:r w:rsidRPr="00BF7A7D">
        <w:rPr>
          <w:rFonts w:ascii="Arial Narrow" w:hAnsi="Arial Narrow"/>
          <w:b/>
        </w:rPr>
        <w:t xml:space="preserve">κατά το </w:t>
      </w:r>
      <w:r w:rsidR="00463BBE">
        <w:rPr>
          <w:rFonts w:ascii="Arial Narrow" w:hAnsi="Arial Narrow"/>
          <w:b/>
        </w:rPr>
        <w:t>προηγούμενο</w:t>
      </w:r>
      <w:r w:rsidR="00C462DA" w:rsidRPr="00BF7A7D">
        <w:rPr>
          <w:rFonts w:ascii="Arial Narrow" w:hAnsi="Arial Narrow"/>
          <w:b/>
        </w:rPr>
        <w:t xml:space="preserve"> εξάμηνο του 2015</w:t>
      </w:r>
      <w:r w:rsidRPr="00BF7A7D">
        <w:rPr>
          <w:rFonts w:ascii="Arial Narrow" w:hAnsi="Arial Narrow"/>
          <w:b/>
        </w:rPr>
        <w:t xml:space="preserve"> </w:t>
      </w:r>
      <w:r w:rsidR="0071557C" w:rsidRPr="00BF7A7D">
        <w:rPr>
          <w:rFonts w:ascii="Arial Narrow" w:hAnsi="Arial Narrow"/>
          <w:b/>
        </w:rPr>
        <w:t>ανέρχεται</w:t>
      </w:r>
      <w:r w:rsidR="00E91421" w:rsidRPr="00BF7A7D">
        <w:rPr>
          <w:rFonts w:ascii="Arial Narrow" w:hAnsi="Arial Narrow"/>
          <w:b/>
        </w:rPr>
        <w:t xml:space="preserve"> </w:t>
      </w:r>
      <w:r w:rsidR="002948B1">
        <w:rPr>
          <w:rFonts w:ascii="Arial Narrow" w:hAnsi="Arial Narrow"/>
          <w:b/>
          <w:u w:val="single"/>
        </w:rPr>
        <w:t>στις 25,000</w:t>
      </w:r>
      <w:r w:rsidR="00E91421" w:rsidRPr="00BF7A7D">
        <w:rPr>
          <w:rFonts w:ascii="Arial Narrow" w:hAnsi="Arial Narrow"/>
          <w:b/>
          <w:u w:val="single"/>
        </w:rPr>
        <w:t>,</w:t>
      </w:r>
      <w:r w:rsidR="00E91421" w:rsidRPr="00BF7A7D">
        <w:rPr>
          <w:rFonts w:ascii="Arial Narrow" w:hAnsi="Arial Narrow"/>
          <w:b/>
        </w:rPr>
        <w:t xml:space="preserve"> στοιχείο που</w:t>
      </w:r>
      <w:r w:rsidRPr="00BF7A7D">
        <w:rPr>
          <w:rFonts w:ascii="Arial Narrow" w:hAnsi="Arial Narrow"/>
          <w:b/>
        </w:rPr>
        <w:t xml:space="preserve"> </w:t>
      </w:r>
      <w:r w:rsidR="002948B1">
        <w:rPr>
          <w:rFonts w:ascii="Arial Narrow" w:hAnsi="Arial Narrow"/>
          <w:b/>
        </w:rPr>
        <w:t xml:space="preserve">εν μέρει </w:t>
      </w:r>
      <w:r w:rsidR="00E91421" w:rsidRPr="00BF7A7D">
        <w:rPr>
          <w:rFonts w:ascii="Arial Narrow" w:hAnsi="Arial Narrow"/>
        </w:rPr>
        <w:t xml:space="preserve">επιβεβαιώνεται </w:t>
      </w:r>
      <w:r w:rsidR="00351D2B">
        <w:rPr>
          <w:rFonts w:ascii="Arial Narrow" w:hAnsi="Arial Narrow"/>
        </w:rPr>
        <w:t xml:space="preserve">από τις ροές </w:t>
      </w:r>
      <w:r w:rsidR="00351D2B" w:rsidRPr="00351D2B">
        <w:rPr>
          <w:rFonts w:ascii="Arial Narrow" w:hAnsi="Arial Narrow"/>
        </w:rPr>
        <w:t xml:space="preserve"> μισθωτής απασχόλησης που δημοσιεύει η Εργάνη,</w:t>
      </w:r>
      <w:r w:rsidR="00BF7A7D">
        <w:rPr>
          <w:rFonts w:ascii="Arial Narrow" w:hAnsi="Arial Narrow"/>
        </w:rPr>
        <w:t xml:space="preserve"> καθώς</w:t>
      </w:r>
      <w:r w:rsidR="00351D2B" w:rsidRPr="00351D2B">
        <w:rPr>
          <w:rFonts w:ascii="Arial Narrow" w:hAnsi="Arial Narrow"/>
        </w:rPr>
        <w:t xml:space="preserve"> προκύπτει ότι τον μήνα Ιούλιο σημειώθηκε αρνητικό ισοζύγιο προσλήψεων- απολύσεων</w:t>
      </w:r>
      <w:r w:rsidR="00BF7A7D">
        <w:rPr>
          <w:rFonts w:ascii="Arial Narrow" w:hAnsi="Arial Narrow"/>
        </w:rPr>
        <w:t xml:space="preserve"> (για πρώτη φορά έπειτα από 2 χρόνια)</w:t>
      </w:r>
      <w:r w:rsidR="00351D2B" w:rsidRPr="00351D2B">
        <w:rPr>
          <w:rFonts w:ascii="Arial Narrow" w:hAnsi="Arial Narrow"/>
        </w:rPr>
        <w:t>, γεγονός που κρούει τον κώδωνα του κινδύνου για την πραγματική</w:t>
      </w:r>
      <w:r w:rsidR="00BE45C5">
        <w:rPr>
          <w:rFonts w:ascii="Arial Narrow" w:hAnsi="Arial Narrow"/>
        </w:rPr>
        <w:t xml:space="preserve"> οικονομί</w:t>
      </w:r>
      <w:r w:rsidR="00BE45C5" w:rsidRPr="00BE45C5">
        <w:rPr>
          <w:rFonts w:ascii="Arial Narrow" w:hAnsi="Arial Narrow"/>
        </w:rPr>
        <w:t>α</w:t>
      </w:r>
      <w:r w:rsidR="00E91421" w:rsidRPr="00BE45C5">
        <w:rPr>
          <w:rFonts w:ascii="Arial Narrow" w:hAnsi="Arial Narrow"/>
        </w:rPr>
        <w:t>.</w:t>
      </w:r>
      <w:r w:rsidR="00A04183" w:rsidRPr="00BE45C5">
        <w:rPr>
          <w:rFonts w:ascii="Arial Narrow" w:hAnsi="Arial Narrow"/>
        </w:rPr>
        <w:t xml:space="preserve"> </w:t>
      </w:r>
      <w:r w:rsidR="00BF7A7D" w:rsidRPr="00BE45C5">
        <w:rPr>
          <w:rFonts w:ascii="Arial Narrow" w:hAnsi="Arial Narrow"/>
        </w:rPr>
        <w:t>Είναι σαφές  ότι η</w:t>
      </w:r>
      <w:r w:rsidR="003535A6" w:rsidRPr="00BE45C5">
        <w:rPr>
          <w:rFonts w:ascii="Arial Narrow" w:hAnsi="Arial Narrow"/>
        </w:rPr>
        <w:t xml:space="preserve"> οριακή</w:t>
      </w:r>
      <w:r w:rsidR="00C462DA" w:rsidRPr="00BE45C5">
        <w:rPr>
          <w:rFonts w:ascii="Arial Narrow" w:hAnsi="Arial Narrow"/>
        </w:rPr>
        <w:t xml:space="preserve"> </w:t>
      </w:r>
      <w:r w:rsidR="00DE6CC0" w:rsidRPr="00BE45C5">
        <w:rPr>
          <w:rFonts w:ascii="Arial Narrow" w:hAnsi="Arial Narrow"/>
        </w:rPr>
        <w:t>αποκλιμάκωση</w:t>
      </w:r>
      <w:r w:rsidR="003535A6" w:rsidRPr="00BE45C5">
        <w:rPr>
          <w:rFonts w:ascii="Arial Narrow" w:hAnsi="Arial Narrow"/>
        </w:rPr>
        <w:t xml:space="preserve"> της ανεργίας</w:t>
      </w:r>
      <w:r w:rsidR="00C462DA" w:rsidRPr="00BE45C5">
        <w:rPr>
          <w:rFonts w:ascii="Arial Narrow" w:hAnsi="Arial Narrow"/>
        </w:rPr>
        <w:t xml:space="preserve"> που σημειώθηκε τους προηγούμενους μήνες</w:t>
      </w:r>
      <w:r w:rsidR="00351D2B" w:rsidRPr="00BE45C5">
        <w:rPr>
          <w:rFonts w:ascii="Arial Narrow" w:hAnsi="Arial Narrow"/>
        </w:rPr>
        <w:t xml:space="preserve"> (ΕΛΣΤΑΤ, </w:t>
      </w:r>
      <w:r w:rsidR="00DE6CC0" w:rsidRPr="00BE45C5">
        <w:rPr>
          <w:rFonts w:ascii="Arial Narrow" w:hAnsi="Arial Narrow"/>
        </w:rPr>
        <w:t xml:space="preserve"> 25%,  Μάιος 2015, μηνιαία στοιχεία)</w:t>
      </w:r>
      <w:r w:rsidR="00C462DA" w:rsidRPr="00BE45C5">
        <w:rPr>
          <w:rFonts w:ascii="Arial Narrow" w:hAnsi="Arial Narrow"/>
        </w:rPr>
        <w:t xml:space="preserve"> δεν </w:t>
      </w:r>
      <w:r w:rsidR="00BF7A7D" w:rsidRPr="00BE45C5">
        <w:rPr>
          <w:rFonts w:ascii="Arial Narrow" w:hAnsi="Arial Narrow"/>
        </w:rPr>
        <w:t>φαίνεται να συνεχίζεται στο δεύτερο εξάμηνο του</w:t>
      </w:r>
      <w:r w:rsidR="00DE6CC0" w:rsidRPr="00BE45C5">
        <w:rPr>
          <w:rFonts w:ascii="Arial Narrow" w:hAnsi="Arial Narrow"/>
        </w:rPr>
        <w:t xml:space="preserve"> 2015. </w:t>
      </w:r>
    </w:p>
    <w:p w:rsidR="00B640C8" w:rsidRPr="00EB2C7D" w:rsidRDefault="001A1009" w:rsidP="00C80BE9">
      <w:pPr>
        <w:numPr>
          <w:ilvl w:val="0"/>
          <w:numId w:val="4"/>
        </w:numPr>
        <w:jc w:val="both"/>
        <w:rPr>
          <w:rFonts w:ascii="Arial Narrow" w:hAnsi="Arial Narrow"/>
        </w:rPr>
      </w:pPr>
      <w:r w:rsidRPr="005E1544">
        <w:rPr>
          <w:rFonts w:ascii="Arial Narrow" w:hAnsi="Arial Narrow"/>
        </w:rPr>
        <w:t>Τ</w:t>
      </w:r>
      <w:r w:rsidR="00D156EE" w:rsidRPr="005E1544">
        <w:rPr>
          <w:rFonts w:ascii="Arial Narrow" w:hAnsi="Arial Narrow"/>
        </w:rPr>
        <w:t>α ευρήματα από τις στατιστικές προβολές του ΙΜΕ-ΓΣΕΒΕΕ</w:t>
      </w:r>
      <w:r w:rsidR="00681EC5" w:rsidRPr="005E1544">
        <w:rPr>
          <w:rFonts w:ascii="Arial Narrow" w:hAnsi="Arial Narrow"/>
        </w:rPr>
        <w:t xml:space="preserve"> για το επόμενο εξάμηνο</w:t>
      </w:r>
      <w:r w:rsidRPr="005E1544">
        <w:rPr>
          <w:rFonts w:ascii="Arial Narrow" w:hAnsi="Arial Narrow"/>
        </w:rPr>
        <w:t xml:space="preserve"> είναι ιδιαίτερα ανησυχητικά</w:t>
      </w:r>
      <w:r w:rsidR="00D156EE" w:rsidRPr="005E1544">
        <w:rPr>
          <w:rFonts w:ascii="Arial Narrow" w:hAnsi="Arial Narrow"/>
        </w:rPr>
        <w:t xml:space="preserve">, καθώς </w:t>
      </w:r>
      <w:r w:rsidR="00D83838" w:rsidRPr="005E1544">
        <w:rPr>
          <w:rFonts w:ascii="Arial Narrow" w:hAnsi="Arial Narrow"/>
        </w:rPr>
        <w:t>το</w:t>
      </w:r>
      <w:r w:rsidR="00C00536" w:rsidRPr="005E1544">
        <w:rPr>
          <w:rFonts w:ascii="Arial Narrow" w:hAnsi="Arial Narrow"/>
        </w:rPr>
        <w:t xml:space="preserve"> </w:t>
      </w:r>
      <w:r w:rsidR="00D156EE" w:rsidRPr="005E1544">
        <w:rPr>
          <w:rFonts w:ascii="Arial Narrow" w:hAnsi="Arial Narrow"/>
        </w:rPr>
        <w:t>ισοζύγιο προσλήψεων-απολύσεων</w:t>
      </w:r>
      <w:r w:rsidR="00C462DA" w:rsidRPr="005E1544">
        <w:rPr>
          <w:rFonts w:ascii="Arial Narrow" w:hAnsi="Arial Narrow"/>
        </w:rPr>
        <w:t xml:space="preserve"> θα τείνει να γίνει αρνητικό</w:t>
      </w:r>
      <w:r w:rsidR="00D83838" w:rsidRPr="005E1544">
        <w:rPr>
          <w:rFonts w:ascii="Arial Narrow" w:hAnsi="Arial Narrow"/>
        </w:rPr>
        <w:t>, άρα και οι προοπτικές μείωσης της ανεργίας είναι περιορισμένες</w:t>
      </w:r>
      <w:r w:rsidR="00D156EE" w:rsidRPr="005E1544">
        <w:rPr>
          <w:rFonts w:ascii="Arial Narrow" w:hAnsi="Arial Narrow"/>
        </w:rPr>
        <w:t>.</w:t>
      </w:r>
      <w:r w:rsidR="002948B1">
        <w:rPr>
          <w:rFonts w:ascii="Arial Narrow" w:hAnsi="Arial Narrow"/>
          <w:color w:val="FF0000"/>
        </w:rPr>
        <w:t xml:space="preserve"> </w:t>
      </w:r>
      <w:r w:rsidR="002948B1" w:rsidRPr="0083195F">
        <w:rPr>
          <w:rFonts w:ascii="Arial Narrow" w:hAnsi="Arial Narrow"/>
        </w:rPr>
        <w:t>Πάνω από</w:t>
      </w:r>
      <w:r w:rsidR="00093261" w:rsidRPr="0083195F">
        <w:rPr>
          <w:rFonts w:ascii="Arial Narrow" w:hAnsi="Arial Narrow"/>
        </w:rPr>
        <w:t xml:space="preserve"> 1 </w:t>
      </w:r>
      <w:r w:rsidR="002948B1" w:rsidRPr="0083195F">
        <w:rPr>
          <w:rFonts w:ascii="Arial Narrow" w:hAnsi="Arial Narrow"/>
        </w:rPr>
        <w:t xml:space="preserve">στις 5 επιχειρήσεις </w:t>
      </w:r>
      <w:r w:rsidR="00093261" w:rsidRPr="0083195F">
        <w:rPr>
          <w:rFonts w:ascii="Arial Narrow" w:hAnsi="Arial Narrow"/>
        </w:rPr>
        <w:t xml:space="preserve"> </w:t>
      </w:r>
      <w:r w:rsidR="002948B1" w:rsidRPr="0083195F">
        <w:rPr>
          <w:rFonts w:ascii="Arial Narrow" w:hAnsi="Arial Narrow"/>
        </w:rPr>
        <w:t>θεωρεί πιθανό ότι θα απολύσει προσωπικό το επόμενο εξάμηνο</w:t>
      </w:r>
      <w:r w:rsidR="00093261" w:rsidRPr="0083195F">
        <w:rPr>
          <w:rFonts w:ascii="Arial Narrow" w:hAnsi="Arial Narrow"/>
          <w:b/>
        </w:rPr>
        <w:t>.</w:t>
      </w:r>
      <w:r w:rsidR="0083195F" w:rsidRPr="0083195F">
        <w:rPr>
          <w:rFonts w:ascii="Arial Narrow" w:hAnsi="Arial Narrow"/>
          <w:b/>
        </w:rPr>
        <w:t xml:space="preserve"> Το ποσοστό αυτό είναι αυξημένο στις επιχειρήσεις που απασχολούν πάνω από 5 άτομα (40,2)%.</w:t>
      </w:r>
      <w:r w:rsidR="00705759" w:rsidRPr="00C80BE9">
        <w:rPr>
          <w:rFonts w:ascii="Arial Narrow" w:hAnsi="Arial Narrow"/>
          <w:color w:val="FF0000"/>
        </w:rPr>
        <w:t xml:space="preserve"> </w:t>
      </w:r>
      <w:r w:rsidR="00D83838" w:rsidRPr="00385287">
        <w:rPr>
          <w:rFonts w:ascii="Arial Narrow" w:hAnsi="Arial Narrow"/>
        </w:rPr>
        <w:t>Ε</w:t>
      </w:r>
      <w:r w:rsidR="00D156EE" w:rsidRPr="00385287">
        <w:rPr>
          <w:rFonts w:ascii="Arial Narrow" w:hAnsi="Arial Narrow"/>
        </w:rPr>
        <w:t xml:space="preserve">άν επαληθευτούν οι εκτιμήσεις του ΙΜΕ-ΓΣΕΒΕΕ τότε </w:t>
      </w:r>
      <w:r w:rsidR="00C00536" w:rsidRPr="00385287">
        <w:rPr>
          <w:rFonts w:ascii="Arial Narrow" w:hAnsi="Arial Narrow"/>
          <w:b/>
          <w:u w:val="single"/>
        </w:rPr>
        <w:t>υπάρχει κίνδυνος απώλειας</w:t>
      </w:r>
      <w:r w:rsidR="00C00536" w:rsidRPr="00385287">
        <w:rPr>
          <w:rFonts w:ascii="Arial Narrow" w:hAnsi="Arial Narrow"/>
          <w:b/>
        </w:rPr>
        <w:t xml:space="preserve"> </w:t>
      </w:r>
      <w:r w:rsidR="006250C8">
        <w:rPr>
          <w:rFonts w:ascii="Arial Narrow" w:hAnsi="Arial Narrow"/>
          <w:b/>
        </w:rPr>
        <w:t>55</w:t>
      </w:r>
      <w:r w:rsidR="00AF4C80">
        <w:rPr>
          <w:rFonts w:ascii="Arial Narrow" w:hAnsi="Arial Narrow"/>
          <w:b/>
        </w:rPr>
        <w:t>,000</w:t>
      </w:r>
      <w:r w:rsidR="006250C8">
        <w:rPr>
          <w:rFonts w:ascii="Arial Narrow" w:hAnsi="Arial Narrow"/>
          <w:b/>
        </w:rPr>
        <w:t xml:space="preserve"> </w:t>
      </w:r>
      <w:r w:rsidR="00D156EE" w:rsidRPr="00385287">
        <w:rPr>
          <w:rFonts w:ascii="Arial Narrow" w:hAnsi="Arial Narrow"/>
          <w:b/>
        </w:rPr>
        <w:t xml:space="preserve">θέσεων </w:t>
      </w:r>
      <w:r w:rsidR="002948B1" w:rsidRPr="00385287">
        <w:rPr>
          <w:rFonts w:ascii="Arial Narrow" w:hAnsi="Arial Narrow"/>
          <w:b/>
          <w:u w:val="single"/>
        </w:rPr>
        <w:t>μισθωτής</w:t>
      </w:r>
      <w:r w:rsidR="00D156EE" w:rsidRPr="00385287">
        <w:rPr>
          <w:rFonts w:ascii="Arial Narrow" w:hAnsi="Arial Narrow"/>
          <w:b/>
          <w:u w:val="single"/>
        </w:rPr>
        <w:t xml:space="preserve"> απασχόλησης</w:t>
      </w:r>
      <w:r w:rsidR="00D156EE" w:rsidRPr="00385287">
        <w:rPr>
          <w:rFonts w:ascii="Arial Narrow" w:hAnsi="Arial Narrow"/>
        </w:rPr>
        <w:t xml:space="preserve"> </w:t>
      </w:r>
      <w:r w:rsidR="00C80BE9" w:rsidRPr="00385287">
        <w:rPr>
          <w:rFonts w:ascii="Arial Narrow" w:hAnsi="Arial Narrow"/>
        </w:rPr>
        <w:t xml:space="preserve"> στο επόμενο εξάμηνο.</w:t>
      </w:r>
      <w:r w:rsidR="0083195F">
        <w:rPr>
          <w:rFonts w:ascii="Arial Narrow" w:hAnsi="Arial Narrow"/>
          <w:color w:val="FF0000"/>
        </w:rPr>
        <w:t xml:space="preserve"> </w:t>
      </w:r>
      <w:r w:rsidR="0083195F" w:rsidRPr="00EB2C7D">
        <w:rPr>
          <w:rFonts w:ascii="Arial Narrow" w:hAnsi="Arial Narrow"/>
        </w:rPr>
        <w:t>Συνολικά</w:t>
      </w:r>
      <w:r w:rsidR="00385287" w:rsidRPr="00EB2C7D">
        <w:rPr>
          <w:rFonts w:ascii="Arial Narrow" w:hAnsi="Arial Narrow"/>
        </w:rPr>
        <w:t>,</w:t>
      </w:r>
      <w:r w:rsidR="0083195F" w:rsidRPr="00EB2C7D">
        <w:rPr>
          <w:rFonts w:ascii="Arial Narrow" w:hAnsi="Arial Narrow"/>
        </w:rPr>
        <w:t xml:space="preserve"> αναμένεται να </w:t>
      </w:r>
      <w:proofErr w:type="spellStart"/>
      <w:r w:rsidR="0083195F" w:rsidRPr="00EB2C7D">
        <w:rPr>
          <w:rFonts w:ascii="Arial Narrow" w:hAnsi="Arial Narrow"/>
        </w:rPr>
        <w:t>απωλεσθούν</w:t>
      </w:r>
      <w:proofErr w:type="spellEnd"/>
      <w:r w:rsidR="00EB2C7D" w:rsidRPr="00EB2C7D">
        <w:rPr>
          <w:rFonts w:ascii="Arial Narrow" w:hAnsi="Arial Narrow"/>
        </w:rPr>
        <w:t xml:space="preserve"> </w:t>
      </w:r>
      <w:r w:rsidR="006250C8">
        <w:rPr>
          <w:rFonts w:ascii="Arial Narrow" w:hAnsi="Arial Narrow"/>
        </w:rPr>
        <w:t>138</w:t>
      </w:r>
      <w:r w:rsidR="00EB2C7D" w:rsidRPr="00EB2C7D">
        <w:rPr>
          <w:rFonts w:ascii="Arial Narrow" w:hAnsi="Arial Narrow"/>
        </w:rPr>
        <w:t xml:space="preserve">,000 </w:t>
      </w:r>
      <w:r w:rsidR="0083195F" w:rsidRPr="00EB2C7D">
        <w:rPr>
          <w:rFonts w:ascii="Arial Narrow" w:hAnsi="Arial Narrow"/>
        </w:rPr>
        <w:t>θέσεις απασχόλησης</w:t>
      </w:r>
      <w:r w:rsidR="00385287" w:rsidRPr="00EB2C7D">
        <w:rPr>
          <w:rFonts w:ascii="Arial Narrow" w:hAnsi="Arial Narrow"/>
        </w:rPr>
        <w:t>, αν συμπεριλάβουμε και τον αριθμό όσων αναστείλουν την επιχειρηματική δραστηριότητα</w:t>
      </w:r>
      <w:r w:rsidR="00EB2C7D" w:rsidRPr="00EB2C7D">
        <w:rPr>
          <w:rFonts w:ascii="Arial Narrow" w:hAnsi="Arial Narrow"/>
        </w:rPr>
        <w:t xml:space="preserve"> (εργοδότες, αυτοαπασχολούμενοι, μισθωτοί)</w:t>
      </w:r>
      <w:r w:rsidR="00385287" w:rsidRPr="00EB2C7D">
        <w:rPr>
          <w:rFonts w:ascii="Arial Narrow" w:hAnsi="Arial Narrow"/>
        </w:rPr>
        <w:t>.</w:t>
      </w:r>
    </w:p>
    <w:p w:rsidR="00B412D2" w:rsidRPr="005E1544" w:rsidRDefault="005E1544" w:rsidP="00D156EE">
      <w:pPr>
        <w:numPr>
          <w:ilvl w:val="0"/>
          <w:numId w:val="4"/>
        </w:numPr>
        <w:jc w:val="both"/>
        <w:rPr>
          <w:rFonts w:ascii="Arial Narrow" w:hAnsi="Arial Narrow"/>
        </w:rPr>
      </w:pPr>
      <w:r w:rsidRPr="005E1544">
        <w:rPr>
          <w:rFonts w:ascii="Arial Narrow" w:hAnsi="Arial Narrow"/>
        </w:rPr>
        <w:t>Το στοιχείο που παρουσιάζεται σταθερά</w:t>
      </w:r>
      <w:r w:rsidR="00B412D2" w:rsidRPr="005E1544">
        <w:rPr>
          <w:rFonts w:ascii="Arial Narrow" w:hAnsi="Arial Narrow"/>
        </w:rPr>
        <w:t xml:space="preserve"> </w:t>
      </w:r>
      <w:r w:rsidR="00B412D2" w:rsidRPr="005E1544">
        <w:rPr>
          <w:rFonts w:ascii="Arial Narrow" w:hAnsi="Arial Narrow"/>
          <w:b/>
        </w:rPr>
        <w:t>επαναληπτικά στην έρευνα κλίματος είναι η δυσκολία που αντιμετωπίζουν οι μικρομεσαίες επιχειρήσεις στην έγκαιρη καταβολή των μισθών</w:t>
      </w:r>
      <w:r w:rsidR="00B412D2" w:rsidRPr="005E1544">
        <w:rPr>
          <w:rFonts w:ascii="Arial Narrow" w:hAnsi="Arial Narrow"/>
        </w:rPr>
        <w:t xml:space="preserve">. </w:t>
      </w:r>
      <w:r w:rsidRPr="005E1544">
        <w:rPr>
          <w:rFonts w:ascii="Arial Narrow" w:hAnsi="Arial Narrow"/>
        </w:rPr>
        <w:t>Το 43</w:t>
      </w:r>
      <w:r w:rsidR="00B97C27" w:rsidRPr="005E1544">
        <w:rPr>
          <w:rFonts w:ascii="Arial Narrow" w:hAnsi="Arial Narrow"/>
        </w:rPr>
        <w:t>%</w:t>
      </w:r>
      <w:r w:rsidR="00B412D2" w:rsidRPr="005E1544">
        <w:rPr>
          <w:rFonts w:ascii="Arial Narrow" w:hAnsi="Arial Narrow"/>
        </w:rPr>
        <w:t xml:space="preserve"> </w:t>
      </w:r>
      <w:r w:rsidR="00B97C27" w:rsidRPr="005E1544">
        <w:rPr>
          <w:rFonts w:ascii="Arial Narrow" w:hAnsi="Arial Narrow"/>
        </w:rPr>
        <w:t>των επιχειρήσεων</w:t>
      </w:r>
      <w:r w:rsidR="00B412D2" w:rsidRPr="005E1544">
        <w:rPr>
          <w:rFonts w:ascii="Arial Narrow" w:hAnsi="Arial Narrow"/>
        </w:rPr>
        <w:t xml:space="preserve"> παρουσιάζει αυτό το πρόβλημα </w:t>
      </w:r>
      <w:r w:rsidRPr="005E1544">
        <w:rPr>
          <w:rFonts w:ascii="Arial Narrow" w:hAnsi="Arial Narrow"/>
        </w:rPr>
        <w:t>χωρίς κάποια τάση εκτόνωσης</w:t>
      </w:r>
      <w:r w:rsidR="00B412D2" w:rsidRPr="005E1544">
        <w:rPr>
          <w:rFonts w:ascii="Arial Narrow" w:hAnsi="Arial Narrow"/>
        </w:rPr>
        <w:t xml:space="preserve">. </w:t>
      </w:r>
      <w:r w:rsidRPr="005E1544">
        <w:rPr>
          <w:rFonts w:ascii="Arial Narrow" w:hAnsi="Arial Narrow"/>
        </w:rPr>
        <w:t>1 στις</w:t>
      </w:r>
      <w:r w:rsidR="007076AD" w:rsidRPr="005E1544">
        <w:rPr>
          <w:rFonts w:ascii="Arial Narrow" w:hAnsi="Arial Narrow"/>
        </w:rPr>
        <w:t xml:space="preserve"> </w:t>
      </w:r>
      <w:r w:rsidRPr="005E1544">
        <w:rPr>
          <w:rFonts w:ascii="Arial Narrow" w:hAnsi="Arial Narrow"/>
        </w:rPr>
        <w:t>4</w:t>
      </w:r>
      <w:r w:rsidR="007076AD" w:rsidRPr="005E1544">
        <w:rPr>
          <w:rFonts w:ascii="Arial Narrow" w:hAnsi="Arial Narrow"/>
        </w:rPr>
        <w:t xml:space="preserve"> επιχειρ</w:t>
      </w:r>
      <w:r w:rsidRPr="005E1544">
        <w:rPr>
          <w:rFonts w:ascii="Arial Narrow" w:hAnsi="Arial Narrow"/>
        </w:rPr>
        <w:t>ήσεις</w:t>
      </w:r>
      <w:r w:rsidR="00491456" w:rsidRPr="005E1544">
        <w:rPr>
          <w:rFonts w:ascii="Arial Narrow" w:hAnsi="Arial Narrow"/>
        </w:rPr>
        <w:t xml:space="preserve"> δήλωσαν</w:t>
      </w:r>
      <w:r w:rsidR="007076AD" w:rsidRPr="005E1544">
        <w:rPr>
          <w:rFonts w:ascii="Arial Narrow" w:hAnsi="Arial Narrow"/>
        </w:rPr>
        <w:t xml:space="preserve"> ότι έχουν μειώσει τις αποδοχές των υπαλλήλων στο προηγούμενο εξάμηνο (διάγραμμα 5). </w:t>
      </w:r>
    </w:p>
    <w:p w:rsidR="00B640C8" w:rsidRPr="005E1544" w:rsidRDefault="00DE6CC0" w:rsidP="002F5084">
      <w:pPr>
        <w:numPr>
          <w:ilvl w:val="0"/>
          <w:numId w:val="4"/>
        </w:numPr>
        <w:jc w:val="both"/>
        <w:rPr>
          <w:rFonts w:ascii="Arial Narrow" w:hAnsi="Arial Narrow"/>
        </w:rPr>
      </w:pPr>
      <w:r w:rsidRPr="005E1544">
        <w:rPr>
          <w:rFonts w:ascii="Arial Narrow" w:hAnsi="Arial Narrow"/>
        </w:rPr>
        <w:t>Παραμένει, αν και μειούμενο (39% έναντι 43%),</w:t>
      </w:r>
      <w:r w:rsidR="00D156EE" w:rsidRPr="005E1544">
        <w:rPr>
          <w:rFonts w:ascii="Arial Narrow" w:hAnsi="Arial Narrow"/>
        </w:rPr>
        <w:t xml:space="preserve"> το καθεστώς εφαρμογής ευέλικτων μορφών απασχόλησης. </w:t>
      </w:r>
      <w:r w:rsidR="009E28D3" w:rsidRPr="005E1544">
        <w:rPr>
          <w:rFonts w:ascii="Arial Narrow" w:hAnsi="Arial Narrow"/>
        </w:rPr>
        <w:t xml:space="preserve">Μάλιστα, το </w:t>
      </w:r>
      <w:r w:rsidRPr="005E1544">
        <w:rPr>
          <w:rFonts w:ascii="Arial Narrow" w:hAnsi="Arial Narrow"/>
        </w:rPr>
        <w:t xml:space="preserve">41,1% </w:t>
      </w:r>
      <w:r w:rsidR="009E28D3" w:rsidRPr="005E1544">
        <w:rPr>
          <w:rFonts w:ascii="Arial Narrow" w:hAnsi="Arial Narrow"/>
        </w:rPr>
        <w:t xml:space="preserve">των επιχειρήσεων δηλώνει ότι είναι πολύ πιθανό να μειώσει μισθούς ή ώρες εργασίας στο επόμενο εξάμηνο. Δεδομένης της έλλειψης προοπτικής για αύξηση της ζήτησης και των </w:t>
      </w:r>
      <w:r w:rsidR="007715EA" w:rsidRPr="005E1544">
        <w:rPr>
          <w:rFonts w:ascii="Arial Narrow" w:hAnsi="Arial Narrow"/>
        </w:rPr>
        <w:t>επενδύσεων</w:t>
      </w:r>
      <w:r w:rsidR="009C68D7" w:rsidRPr="005E1544">
        <w:rPr>
          <w:rFonts w:ascii="Arial Narrow" w:hAnsi="Arial Narrow"/>
        </w:rPr>
        <w:t xml:space="preserve">, </w:t>
      </w:r>
      <w:r w:rsidR="00081E7B" w:rsidRPr="005E1544">
        <w:rPr>
          <w:rFonts w:ascii="Arial Narrow" w:hAnsi="Arial Narrow"/>
        </w:rPr>
        <w:t>η πρακτική</w:t>
      </w:r>
      <w:r w:rsidR="00491456" w:rsidRPr="005E1544">
        <w:rPr>
          <w:rFonts w:ascii="Arial Narrow" w:hAnsi="Arial Narrow"/>
        </w:rPr>
        <w:t xml:space="preserve"> αυτή</w:t>
      </w:r>
      <w:r w:rsidR="009C68D7" w:rsidRPr="005E1544">
        <w:rPr>
          <w:rFonts w:ascii="Arial Narrow" w:hAnsi="Arial Narrow"/>
        </w:rPr>
        <w:t xml:space="preserve"> </w:t>
      </w:r>
      <w:r w:rsidR="005E1544" w:rsidRPr="005E1544">
        <w:rPr>
          <w:rFonts w:ascii="Arial Narrow" w:hAnsi="Arial Narrow"/>
        </w:rPr>
        <w:t>θα συνεχίσει να αποτελεί λύση ανάγκης για τις επιχειρήσεις.</w:t>
      </w:r>
    </w:p>
    <w:p w:rsidR="00B640C8" w:rsidRPr="00925A9D" w:rsidRDefault="00B640C8" w:rsidP="002F5084">
      <w:pPr>
        <w:jc w:val="both"/>
        <w:rPr>
          <w:rFonts w:ascii="Arial Narrow" w:hAnsi="Arial Narrow"/>
          <w:color w:val="FF0000"/>
        </w:rPr>
      </w:pPr>
    </w:p>
    <w:tbl>
      <w:tblPr>
        <w:tblW w:w="10651" w:type="dxa"/>
        <w:tblLayout w:type="fixed"/>
        <w:tblLook w:val="01E0"/>
      </w:tblPr>
      <w:tblGrid>
        <w:gridCol w:w="5311"/>
        <w:gridCol w:w="5340"/>
      </w:tblGrid>
      <w:tr w:rsidR="00B640C8" w:rsidRPr="008F2928" w:rsidTr="00102644">
        <w:trPr>
          <w:trHeight w:val="289"/>
        </w:trPr>
        <w:tc>
          <w:tcPr>
            <w:tcW w:w="5311" w:type="dxa"/>
          </w:tcPr>
          <w:p w:rsidR="00B640C8" w:rsidRPr="00FE4445" w:rsidRDefault="00CD4D87" w:rsidP="002F5084">
            <w:pPr>
              <w:jc w:val="center"/>
              <w:rPr>
                <w:rFonts w:ascii="Arial Narrow" w:hAnsi="Arial Narrow"/>
                <w:b/>
                <w:bCs/>
                <w:sz w:val="20"/>
                <w:szCs w:val="20"/>
                <w:u w:val="single"/>
              </w:rPr>
            </w:pPr>
            <w:r>
              <w:rPr>
                <w:rFonts w:ascii="Arial Narrow" w:hAnsi="Arial Narrow"/>
                <w:b/>
                <w:bCs/>
                <w:sz w:val="20"/>
                <w:szCs w:val="20"/>
                <w:u w:val="single"/>
              </w:rPr>
              <w:t>ΓΡΑΦΗ</w:t>
            </w:r>
            <w:r w:rsidR="00B640C8" w:rsidRPr="00FE4445">
              <w:rPr>
                <w:rFonts w:ascii="Arial Narrow" w:hAnsi="Arial Narrow"/>
                <w:b/>
                <w:bCs/>
                <w:sz w:val="20"/>
                <w:szCs w:val="20"/>
                <w:u w:val="single"/>
              </w:rPr>
              <w:t xml:space="preserve">ΜΑ </w:t>
            </w:r>
            <w:r w:rsidR="00B640C8">
              <w:rPr>
                <w:rFonts w:ascii="Arial Narrow" w:hAnsi="Arial Narrow"/>
                <w:b/>
                <w:bCs/>
                <w:sz w:val="20"/>
                <w:szCs w:val="20"/>
                <w:u w:val="single"/>
              </w:rPr>
              <w:t>5</w:t>
            </w:r>
          </w:p>
        </w:tc>
        <w:tc>
          <w:tcPr>
            <w:tcW w:w="5340" w:type="dxa"/>
          </w:tcPr>
          <w:p w:rsidR="00B640C8" w:rsidRPr="00FE4445" w:rsidRDefault="00CD4D87" w:rsidP="00DB5484">
            <w:pPr>
              <w:tabs>
                <w:tab w:val="left" w:pos="8280"/>
              </w:tabs>
              <w:ind w:right="26"/>
              <w:jc w:val="center"/>
              <w:rPr>
                <w:rFonts w:ascii="Arial Narrow" w:hAnsi="Arial Narrow"/>
                <w:b/>
                <w:bCs/>
                <w:sz w:val="20"/>
                <w:szCs w:val="20"/>
                <w:u w:val="single"/>
              </w:rPr>
            </w:pPr>
            <w:r>
              <w:rPr>
                <w:rFonts w:ascii="Arial Narrow" w:hAnsi="Arial Narrow"/>
                <w:b/>
                <w:bCs/>
                <w:sz w:val="20"/>
                <w:szCs w:val="20"/>
                <w:u w:val="single"/>
              </w:rPr>
              <w:t>ΓΡΑΦΗ</w:t>
            </w:r>
            <w:r w:rsidR="00B640C8" w:rsidRPr="00FE4445">
              <w:rPr>
                <w:rFonts w:ascii="Arial Narrow" w:hAnsi="Arial Narrow"/>
                <w:b/>
                <w:bCs/>
                <w:sz w:val="20"/>
                <w:szCs w:val="20"/>
                <w:u w:val="single"/>
              </w:rPr>
              <w:t>ΜΑ</w:t>
            </w:r>
            <w:r w:rsidR="00B640C8">
              <w:rPr>
                <w:rFonts w:ascii="Arial Narrow" w:hAnsi="Arial Narrow"/>
                <w:b/>
                <w:bCs/>
                <w:sz w:val="20"/>
                <w:szCs w:val="20"/>
                <w:u w:val="single"/>
              </w:rPr>
              <w:t xml:space="preserve"> 6</w:t>
            </w:r>
          </w:p>
        </w:tc>
      </w:tr>
      <w:tr w:rsidR="00B640C8" w:rsidRPr="008F2928" w:rsidTr="00102644">
        <w:trPr>
          <w:trHeight w:val="4224"/>
        </w:trPr>
        <w:tc>
          <w:tcPr>
            <w:tcW w:w="5311" w:type="dxa"/>
          </w:tcPr>
          <w:p w:rsidR="00B640C8" w:rsidRPr="00741FD2" w:rsidRDefault="00B640C8" w:rsidP="00741FD2">
            <w:pPr>
              <w:jc w:val="center"/>
              <w:rPr>
                <w:rFonts w:ascii="Arial Narrow" w:hAnsi="Arial Narrow"/>
                <w:b/>
                <w:bCs/>
                <w:color w:val="FF0000"/>
                <w:sz w:val="18"/>
                <w:szCs w:val="18"/>
              </w:rPr>
            </w:pPr>
            <w:r w:rsidRPr="00741FD2">
              <w:rPr>
                <w:rFonts w:ascii="Arial Narrow" w:hAnsi="Arial Narrow"/>
                <w:b/>
                <w:bCs/>
                <w:sz w:val="18"/>
                <w:szCs w:val="18"/>
              </w:rPr>
              <w:t xml:space="preserve">Έχουν αναγκαστεί να μειώσουν τις αποδοχές κάποιων υπαλλήλων </w:t>
            </w:r>
            <w:r w:rsidRPr="00741FD2">
              <w:rPr>
                <w:rFonts w:ascii="Arial Narrow" w:hAnsi="Arial Narrow"/>
                <w:b/>
                <w:bCs/>
                <w:sz w:val="18"/>
                <w:szCs w:val="18"/>
              </w:rPr>
              <w:br/>
            </w:r>
            <w:r w:rsidRPr="00741FD2">
              <w:rPr>
                <w:rFonts w:ascii="Arial Narrow" w:hAnsi="Arial Narrow"/>
                <w:b/>
                <w:bCs/>
                <w:i/>
                <w:iCs/>
                <w:color w:val="FF0000"/>
                <w:sz w:val="18"/>
                <w:szCs w:val="18"/>
              </w:rPr>
              <w:t xml:space="preserve">-Βάση: Όσοι απασχολούν αμειβόμενο προσωπικό - </w:t>
            </w:r>
          </w:p>
          <w:p w:rsidR="00B640C8" w:rsidRPr="004724A0" w:rsidRDefault="00847B5D" w:rsidP="004724A0">
            <w:pPr>
              <w:jc w:val="center"/>
              <w:rPr>
                <w:rFonts w:ascii="Arial Narrow" w:hAnsi="Arial Narrow"/>
                <w:b/>
                <w:bCs/>
                <w:color w:val="FF0000"/>
                <w:sz w:val="18"/>
                <w:szCs w:val="18"/>
              </w:rPr>
            </w:pPr>
            <w:r>
              <w:rPr>
                <w:rFonts w:ascii="Arial Narrow" w:hAnsi="Arial Narrow"/>
                <w:b/>
                <w:bCs/>
                <w:noProof/>
                <w:sz w:val="18"/>
                <w:szCs w:val="18"/>
              </w:rPr>
              <w:drawing>
                <wp:anchor distT="0" distB="0" distL="114300" distR="114300" simplePos="0" relativeHeight="251679232" behindDoc="0" locked="0" layoutInCell="1" allowOverlap="1">
                  <wp:simplePos x="0" y="0"/>
                  <wp:positionH relativeFrom="column">
                    <wp:posOffset>-124933</wp:posOffset>
                  </wp:positionH>
                  <wp:positionV relativeFrom="paragraph">
                    <wp:posOffset>55511</wp:posOffset>
                  </wp:positionV>
                  <wp:extent cx="3391786" cy="2232837"/>
                  <wp:effectExtent l="0" t="0" r="0" b="0"/>
                  <wp:wrapNone/>
                  <wp:docPr id="11" name="Γράφημα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E725F" w:rsidRPr="000E725F" w:rsidRDefault="000E725F" w:rsidP="000E725F">
            <w:pPr>
              <w:spacing w:after="200" w:line="276" w:lineRule="auto"/>
              <w:rPr>
                <w:rFonts w:ascii="Calibri" w:eastAsia="Calibri" w:hAnsi="Calibri"/>
                <w:sz w:val="22"/>
                <w:szCs w:val="22"/>
                <w:lang w:eastAsia="en-US"/>
              </w:rPr>
            </w:pPr>
          </w:p>
          <w:p w:rsidR="00B640C8" w:rsidRPr="00512E98" w:rsidRDefault="00B640C8" w:rsidP="00512E98">
            <w:pPr>
              <w:spacing w:after="200" w:line="276" w:lineRule="auto"/>
              <w:rPr>
                <w:rFonts w:ascii="Calibri" w:eastAsia="Calibri" w:hAnsi="Calibri"/>
                <w:sz w:val="22"/>
                <w:szCs w:val="22"/>
                <w:lang w:eastAsia="en-US"/>
              </w:rPr>
            </w:pPr>
          </w:p>
        </w:tc>
        <w:tc>
          <w:tcPr>
            <w:tcW w:w="5340" w:type="dxa"/>
          </w:tcPr>
          <w:p w:rsidR="00B640C8" w:rsidRPr="00741FD2" w:rsidRDefault="00B640C8" w:rsidP="00741FD2">
            <w:pPr>
              <w:tabs>
                <w:tab w:val="left" w:pos="8280"/>
              </w:tabs>
              <w:ind w:right="26"/>
              <w:jc w:val="center"/>
              <w:rPr>
                <w:rFonts w:ascii="Arial Narrow" w:hAnsi="Arial Narrow"/>
                <w:b/>
                <w:color w:val="FF0000"/>
                <w:sz w:val="18"/>
                <w:szCs w:val="18"/>
              </w:rPr>
            </w:pPr>
            <w:r w:rsidRPr="00741FD2">
              <w:rPr>
                <w:rFonts w:ascii="Arial Narrow" w:hAnsi="Arial Narrow"/>
                <w:b/>
                <w:bCs/>
                <w:sz w:val="18"/>
                <w:szCs w:val="18"/>
              </w:rPr>
              <w:t xml:space="preserve">Έχουν αναγκαστεί έστω και περιστασιακά να μειώσουν ώρες </w:t>
            </w:r>
            <w:r w:rsidRPr="00741FD2">
              <w:rPr>
                <w:rFonts w:ascii="Arial Narrow" w:hAnsi="Arial Narrow"/>
                <w:b/>
                <w:bCs/>
                <w:sz w:val="18"/>
                <w:szCs w:val="18"/>
              </w:rPr>
              <w:br/>
              <w:t>ή ημέρες εργασίας σε κάποιους υπαλλήλους</w:t>
            </w:r>
            <w:r w:rsidRPr="00741FD2">
              <w:rPr>
                <w:rFonts w:ascii="Arial Narrow" w:hAnsi="Arial Narrow"/>
                <w:b/>
                <w:bCs/>
                <w:sz w:val="18"/>
                <w:szCs w:val="18"/>
              </w:rPr>
              <w:br/>
            </w:r>
            <w:r w:rsidRPr="00741FD2">
              <w:rPr>
                <w:rFonts w:ascii="Arial Narrow" w:hAnsi="Arial Narrow"/>
                <w:b/>
                <w:bCs/>
                <w:i/>
                <w:iCs/>
                <w:color w:val="FF0000"/>
                <w:sz w:val="18"/>
                <w:szCs w:val="18"/>
              </w:rPr>
              <w:t xml:space="preserve">-Βάση: Όσοι απασχολούν αμειβόμενο προσωπικό </w:t>
            </w:r>
            <w:r>
              <w:rPr>
                <w:rFonts w:ascii="Arial Narrow" w:hAnsi="Arial Narrow"/>
                <w:b/>
                <w:bCs/>
                <w:i/>
                <w:iCs/>
                <w:color w:val="FF0000"/>
                <w:sz w:val="18"/>
                <w:szCs w:val="18"/>
              </w:rPr>
              <w:t>-</w:t>
            </w:r>
          </w:p>
          <w:p w:rsidR="00B640C8" w:rsidRDefault="00102644" w:rsidP="00530525">
            <w:pPr>
              <w:tabs>
                <w:tab w:val="left" w:pos="8280"/>
              </w:tabs>
              <w:ind w:right="26"/>
              <w:jc w:val="both"/>
              <w:rPr>
                <w:rFonts w:ascii="Arial Narrow" w:hAnsi="Arial Narrow"/>
                <w:b/>
              </w:rPr>
            </w:pPr>
            <w:r>
              <w:rPr>
                <w:rFonts w:ascii="Arial Narrow" w:hAnsi="Arial Narrow"/>
                <w:b/>
                <w:bCs/>
                <w:noProof/>
                <w:sz w:val="18"/>
                <w:szCs w:val="18"/>
              </w:rPr>
              <w:drawing>
                <wp:anchor distT="0" distB="0" distL="114300" distR="114300" simplePos="0" relativeHeight="251680256" behindDoc="0" locked="0" layoutInCell="1" allowOverlap="1">
                  <wp:simplePos x="0" y="0"/>
                  <wp:positionH relativeFrom="column">
                    <wp:posOffset>31794</wp:posOffset>
                  </wp:positionH>
                  <wp:positionV relativeFrom="paragraph">
                    <wp:posOffset>7309</wp:posOffset>
                  </wp:positionV>
                  <wp:extent cx="3274695" cy="2360295"/>
                  <wp:effectExtent l="0" t="0" r="0" b="0"/>
                  <wp:wrapNone/>
                  <wp:docPr id="12" name="Γράφημα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640C8" w:rsidRPr="00741FD2" w:rsidRDefault="00B640C8" w:rsidP="00530525">
            <w:pPr>
              <w:tabs>
                <w:tab w:val="left" w:pos="8280"/>
              </w:tabs>
              <w:ind w:right="26"/>
              <w:jc w:val="both"/>
              <w:rPr>
                <w:rFonts w:ascii="Arial Narrow" w:hAnsi="Arial Narrow"/>
                <w:b/>
              </w:rPr>
            </w:pPr>
          </w:p>
        </w:tc>
      </w:tr>
    </w:tbl>
    <w:p w:rsidR="00BE275B" w:rsidRPr="0064755D" w:rsidRDefault="00B640C8" w:rsidP="0064755D">
      <w:pPr>
        <w:pStyle w:val="aa"/>
        <w:numPr>
          <w:ilvl w:val="0"/>
          <w:numId w:val="1"/>
        </w:numPr>
        <w:tabs>
          <w:tab w:val="clear" w:pos="1080"/>
          <w:tab w:val="num" w:pos="426"/>
        </w:tabs>
        <w:ind w:hanging="1080"/>
        <w:jc w:val="both"/>
        <w:rPr>
          <w:rFonts w:ascii="Arial Narrow" w:hAnsi="Arial Narrow"/>
        </w:rPr>
      </w:pPr>
      <w:r w:rsidRPr="0064755D">
        <w:rPr>
          <w:rFonts w:ascii="Arial Narrow" w:hAnsi="Arial Narrow"/>
          <w:b/>
          <w:u w:val="single"/>
        </w:rPr>
        <w:lastRenderedPageBreak/>
        <w:t xml:space="preserve">ΟΦΕΙΛΕΣ </w:t>
      </w:r>
      <w:r w:rsidR="00BE275B" w:rsidRPr="0064755D">
        <w:rPr>
          <w:rFonts w:ascii="Arial Narrow" w:hAnsi="Arial Narrow"/>
          <w:b/>
          <w:u w:val="single"/>
        </w:rPr>
        <w:t xml:space="preserve">ΚΑΙ ΑΠΑΙΤΗΣΕΙΣ </w:t>
      </w:r>
      <w:r w:rsidRPr="0064755D">
        <w:rPr>
          <w:rFonts w:ascii="Arial Narrow" w:hAnsi="Arial Narrow"/>
          <w:b/>
          <w:u w:val="single"/>
        </w:rPr>
        <w:t>ΕΠΙΧΕΙΡΗΣΕΩΝ</w:t>
      </w:r>
    </w:p>
    <w:p w:rsidR="00BE275B" w:rsidRDefault="00BE275B" w:rsidP="008716B3">
      <w:pPr>
        <w:jc w:val="both"/>
        <w:rPr>
          <w:rFonts w:ascii="Arial Narrow" w:hAnsi="Arial Narrow"/>
        </w:rPr>
      </w:pPr>
    </w:p>
    <w:p w:rsidR="00772B3F" w:rsidRDefault="00772B3F" w:rsidP="00772B3F">
      <w:pPr>
        <w:pStyle w:val="aa"/>
        <w:numPr>
          <w:ilvl w:val="0"/>
          <w:numId w:val="13"/>
        </w:numPr>
        <w:jc w:val="both"/>
        <w:rPr>
          <w:rFonts w:ascii="Arial Narrow" w:hAnsi="Arial Narrow"/>
        </w:rPr>
      </w:pPr>
      <w:r w:rsidRPr="00772B3F">
        <w:rPr>
          <w:rFonts w:ascii="Arial Narrow" w:hAnsi="Arial Narrow"/>
        </w:rPr>
        <w:t xml:space="preserve">Το μεγαλύτερο ποσοστό των επιχειρήσεων με καθυστερημένες οφειλές αφορά τις υποχρεώσεις προς το δημόσιο (ασφαλιστικά ταμεία, εφορία, ΔΕΚΟ). </w:t>
      </w:r>
    </w:p>
    <w:p w:rsidR="00772B3F" w:rsidRPr="00772B3F" w:rsidRDefault="00772B3F" w:rsidP="00772B3F">
      <w:pPr>
        <w:pStyle w:val="aa"/>
        <w:numPr>
          <w:ilvl w:val="0"/>
          <w:numId w:val="13"/>
        </w:numPr>
        <w:tabs>
          <w:tab w:val="left" w:pos="426"/>
        </w:tabs>
        <w:ind w:left="426" w:hanging="426"/>
        <w:jc w:val="both"/>
        <w:rPr>
          <w:rFonts w:ascii="Arial Narrow" w:hAnsi="Arial Narrow"/>
        </w:rPr>
      </w:pPr>
      <w:r w:rsidRPr="00AF2A1D">
        <w:rPr>
          <w:rFonts w:ascii="Arial Narrow" w:hAnsi="Arial Narrow"/>
        </w:rPr>
        <w:t xml:space="preserve">Οι οφειλές προς τις ΔΕΚΟ  </w:t>
      </w:r>
      <w:r>
        <w:rPr>
          <w:rFonts w:ascii="Arial Narrow" w:hAnsi="Arial Narrow"/>
        </w:rPr>
        <w:t>αυξάνονται</w:t>
      </w:r>
      <w:r w:rsidRPr="00AF2A1D">
        <w:rPr>
          <w:rFonts w:ascii="Arial Narrow" w:hAnsi="Arial Narrow"/>
        </w:rPr>
        <w:t xml:space="preserve"> στο </w:t>
      </w:r>
      <w:r>
        <w:rPr>
          <w:rFonts w:ascii="Arial Narrow" w:hAnsi="Arial Narrow"/>
        </w:rPr>
        <w:t>29,1% από 25</w:t>
      </w:r>
      <w:r w:rsidRPr="00AF2A1D">
        <w:rPr>
          <w:rFonts w:ascii="Arial Narrow" w:hAnsi="Arial Narrow"/>
        </w:rPr>
        <w:t>,5%,</w:t>
      </w:r>
      <w:r>
        <w:rPr>
          <w:rFonts w:ascii="Arial Narrow" w:hAnsi="Arial Narrow"/>
        </w:rPr>
        <w:t xml:space="preserve"> γεγονός που επιβεβαιώνεται και από τη συσσώρευση ανεξόφλητων λογαριασμών, όπως ανακοινώθηκε και από τη ΔΕΗ. Το κόστος ενέργειας παραμένει άλλωστε σημαντικός ανασχετικός παράγοντας για νέες επενδύσεις.</w:t>
      </w:r>
      <w:r w:rsidRPr="0066182D">
        <w:rPr>
          <w:rFonts w:ascii="Arial Narrow" w:hAnsi="Arial Narrow"/>
        </w:rPr>
        <w:t xml:space="preserve"> 1 στις 4 επιχειρήσεις έχει καθυστερούμενες οφειλές σε προμηθευτές και σε ενοίκια.</w:t>
      </w:r>
    </w:p>
    <w:p w:rsidR="00772B3F" w:rsidRDefault="00492618" w:rsidP="00D932C8">
      <w:pPr>
        <w:pStyle w:val="aa"/>
        <w:numPr>
          <w:ilvl w:val="0"/>
          <w:numId w:val="13"/>
        </w:numPr>
        <w:tabs>
          <w:tab w:val="num" w:pos="426"/>
        </w:tabs>
        <w:ind w:left="426" w:hanging="426"/>
        <w:jc w:val="both"/>
        <w:rPr>
          <w:rFonts w:ascii="Arial Narrow" w:hAnsi="Arial Narrow"/>
        </w:rPr>
      </w:pPr>
      <w:r>
        <w:rPr>
          <w:rFonts w:ascii="Arial Narrow" w:hAnsi="Arial Narrow"/>
        </w:rPr>
        <w:t xml:space="preserve">Παρά τις ευεργετικές ρυθμίσεις των 100 δόσεων για </w:t>
      </w:r>
      <w:r w:rsidR="0066182D">
        <w:rPr>
          <w:rFonts w:ascii="Arial Narrow" w:hAnsi="Arial Narrow"/>
        </w:rPr>
        <w:t xml:space="preserve">φορολογικές και </w:t>
      </w:r>
      <w:r>
        <w:rPr>
          <w:rFonts w:ascii="Arial Narrow" w:hAnsi="Arial Narrow"/>
        </w:rPr>
        <w:t>ασφαλιστικές</w:t>
      </w:r>
      <w:r w:rsidR="0066182D">
        <w:rPr>
          <w:rFonts w:ascii="Arial Narrow" w:hAnsi="Arial Narrow"/>
        </w:rPr>
        <w:t xml:space="preserve"> οφειλές</w:t>
      </w:r>
      <w:r>
        <w:rPr>
          <w:rFonts w:ascii="Arial Narrow" w:hAnsi="Arial Narrow"/>
        </w:rPr>
        <w:t xml:space="preserve"> που αξιοποίησαν</w:t>
      </w:r>
      <w:r w:rsidR="00D932C8" w:rsidRPr="003A180D">
        <w:rPr>
          <w:rFonts w:ascii="Arial Narrow" w:hAnsi="Arial Narrow"/>
        </w:rPr>
        <w:t xml:space="preserve"> οι επιχειρήσεις μέσα στο</w:t>
      </w:r>
      <w:r>
        <w:rPr>
          <w:rFonts w:ascii="Arial Narrow" w:hAnsi="Arial Narrow"/>
        </w:rPr>
        <w:t xml:space="preserve"> πρώτο εξάμηνο του 2015</w:t>
      </w:r>
      <w:r w:rsidR="0066182D">
        <w:rPr>
          <w:rFonts w:ascii="Arial Narrow" w:hAnsi="Arial Narrow"/>
        </w:rPr>
        <w:t xml:space="preserve"> (3 στις 10 δηλώνει ότι έχει κάνει αίτηση υπαγωγής</w:t>
      </w:r>
      <w:r w:rsidR="002C3A9B">
        <w:rPr>
          <w:rFonts w:ascii="Arial Narrow" w:hAnsi="Arial Narrow"/>
        </w:rPr>
        <w:t xml:space="preserve"> έναντι </w:t>
      </w:r>
      <w:r w:rsidR="00465F3B">
        <w:rPr>
          <w:rFonts w:ascii="Arial Narrow" w:hAnsi="Arial Narrow"/>
        </w:rPr>
        <w:t>11% για την προηγούμενη ρύθμιση</w:t>
      </w:r>
      <w:r w:rsidR="00DC79DB">
        <w:rPr>
          <w:rFonts w:ascii="Arial Narrow" w:hAnsi="Arial Narrow"/>
        </w:rPr>
        <w:t>, γράφη</w:t>
      </w:r>
      <w:r w:rsidR="0066182D">
        <w:rPr>
          <w:rFonts w:ascii="Arial Narrow" w:hAnsi="Arial Narrow"/>
        </w:rPr>
        <w:t>μα 8)</w:t>
      </w:r>
      <w:r w:rsidR="00D932C8" w:rsidRPr="003A180D">
        <w:rPr>
          <w:rFonts w:ascii="Arial Narrow" w:hAnsi="Arial Narrow"/>
        </w:rPr>
        <w:t xml:space="preserve"> </w:t>
      </w:r>
      <w:r w:rsidR="0066182D">
        <w:rPr>
          <w:rFonts w:ascii="Arial Narrow" w:hAnsi="Arial Narrow"/>
        </w:rPr>
        <w:t>παραμένει η εκπεφρασμένη</w:t>
      </w:r>
      <w:r w:rsidR="00D932C8" w:rsidRPr="003A180D">
        <w:rPr>
          <w:rFonts w:ascii="Arial Narrow" w:hAnsi="Arial Narrow"/>
        </w:rPr>
        <w:t xml:space="preserve"> αδυναμία τους να </w:t>
      </w:r>
      <w:r w:rsidR="0066182D">
        <w:rPr>
          <w:rFonts w:ascii="Arial Narrow" w:hAnsi="Arial Narrow"/>
        </w:rPr>
        <w:t>εκπληρώσουν τις υψηλές</w:t>
      </w:r>
      <w:r w:rsidR="00D932C8" w:rsidRPr="003A180D">
        <w:rPr>
          <w:rFonts w:ascii="Arial Narrow" w:hAnsi="Arial Narrow"/>
        </w:rPr>
        <w:t xml:space="preserve"> φορολογικ</w:t>
      </w:r>
      <w:r w:rsidR="0066182D">
        <w:rPr>
          <w:rFonts w:ascii="Arial Narrow" w:hAnsi="Arial Narrow"/>
        </w:rPr>
        <w:t>ές και ασφαλιστικές υποχρεώσεις στο επόμενο εξάμηνο (το 3</w:t>
      </w:r>
      <w:r w:rsidR="00772B3F">
        <w:rPr>
          <w:rFonts w:ascii="Arial Narrow" w:hAnsi="Arial Narrow"/>
        </w:rPr>
        <w:t>7,9% δηλώνει αδυναμία πληρωμής)</w:t>
      </w:r>
      <w:r w:rsidR="00D932C8" w:rsidRPr="003A180D">
        <w:rPr>
          <w:rFonts w:ascii="Arial Narrow" w:hAnsi="Arial Narrow"/>
        </w:rPr>
        <w:t>.</w:t>
      </w:r>
    </w:p>
    <w:p w:rsidR="003A180D" w:rsidRPr="00772B3F" w:rsidRDefault="00772B3F" w:rsidP="00772B3F">
      <w:pPr>
        <w:pStyle w:val="aa"/>
        <w:numPr>
          <w:ilvl w:val="0"/>
          <w:numId w:val="13"/>
        </w:numPr>
        <w:jc w:val="both"/>
        <w:rPr>
          <w:rFonts w:ascii="Arial Narrow" w:hAnsi="Arial Narrow"/>
        </w:rPr>
      </w:pPr>
      <w:r w:rsidRPr="00772B3F">
        <w:rPr>
          <w:rFonts w:ascii="Arial Narrow" w:hAnsi="Arial Narrow"/>
        </w:rPr>
        <w:t xml:space="preserve">Ληξιπρόθεσμες οφειλές προς τις τράπεζες έχει το 16,3% των μικρών επιχειρήσεων. Οι νέες ρυθμίσεις για τα κόκκινα δάνεια και την προστασία της πρώτης κατοικίας πρέπει να </w:t>
      </w:r>
      <w:r w:rsidRPr="00772B3F">
        <w:rPr>
          <w:rFonts w:ascii="Arial Narrow" w:hAnsi="Arial Narrow"/>
        </w:rPr>
        <w:tab/>
        <w:t>λάβουν υπόψη το δεδομένο της σταθερής αύξησης του ιδιωτικού χρέους.</w:t>
      </w:r>
      <w:r w:rsidR="00D932C8" w:rsidRPr="00772B3F">
        <w:rPr>
          <w:rFonts w:ascii="Arial Narrow" w:hAnsi="Arial Narrow"/>
        </w:rPr>
        <w:t xml:space="preserve"> </w:t>
      </w:r>
    </w:p>
    <w:p w:rsidR="003A180D" w:rsidRPr="005B6C38" w:rsidRDefault="0066182D" w:rsidP="00D932C8">
      <w:pPr>
        <w:pStyle w:val="aa"/>
        <w:numPr>
          <w:ilvl w:val="0"/>
          <w:numId w:val="13"/>
        </w:numPr>
        <w:tabs>
          <w:tab w:val="num" w:pos="426"/>
        </w:tabs>
        <w:ind w:left="426" w:hanging="426"/>
        <w:jc w:val="both"/>
        <w:rPr>
          <w:rFonts w:ascii="Arial Narrow" w:hAnsi="Arial Narrow"/>
        </w:rPr>
      </w:pPr>
      <w:r w:rsidRPr="005B6C38">
        <w:rPr>
          <w:rFonts w:ascii="Arial Narrow" w:hAnsi="Arial Narrow"/>
          <w:b/>
        </w:rPr>
        <w:t xml:space="preserve">Μεγάλο </w:t>
      </w:r>
      <w:r w:rsidR="003A180D" w:rsidRPr="005B6C38">
        <w:rPr>
          <w:rFonts w:ascii="Arial Narrow" w:hAnsi="Arial Narrow"/>
          <w:b/>
        </w:rPr>
        <w:t xml:space="preserve">μέρος των καθυστερημένων οφειλών των επιχειρήσεων αφορά τις ασφαλιστικές οφειλές προς  </w:t>
      </w:r>
      <w:r w:rsidR="003A180D" w:rsidRPr="005B6C38">
        <w:rPr>
          <w:rFonts w:ascii="Arial Narrow" w:hAnsi="Arial Narrow"/>
        </w:rPr>
        <w:t>το κύριο ασφαλιστικό ταμείο των επαγγελματιών, τον</w:t>
      </w:r>
      <w:r w:rsidRPr="005B6C38">
        <w:rPr>
          <w:rFonts w:ascii="Arial Narrow" w:hAnsi="Arial Narrow"/>
          <w:b/>
        </w:rPr>
        <w:t xml:space="preserve"> ΟΑΕΕ (35,6</w:t>
      </w:r>
      <w:r w:rsidR="003A180D" w:rsidRPr="005B6C38">
        <w:rPr>
          <w:rFonts w:ascii="Arial Narrow" w:hAnsi="Arial Narrow"/>
          <w:b/>
        </w:rPr>
        <w:t>%, διάγραμμα 7).</w:t>
      </w:r>
      <w:r w:rsidR="003A180D" w:rsidRPr="005B6C38">
        <w:rPr>
          <w:rFonts w:ascii="Arial Narrow" w:hAnsi="Arial Narrow"/>
        </w:rPr>
        <w:t xml:space="preserve"> </w:t>
      </w:r>
      <w:r w:rsidR="00D932C8" w:rsidRPr="005B6C38">
        <w:rPr>
          <w:rFonts w:ascii="Arial Narrow" w:hAnsi="Arial Narrow"/>
        </w:rPr>
        <w:t xml:space="preserve"> </w:t>
      </w:r>
      <w:r w:rsidR="004B5E23" w:rsidRPr="005B6C38">
        <w:rPr>
          <w:rFonts w:ascii="Arial Narrow" w:hAnsi="Arial Narrow"/>
        </w:rPr>
        <w:t xml:space="preserve">Σύμφωνα με τα πιο πρόσφατα στοιχεία του οργανισμού έχει αυξηθεί κατά 50% την τελευταία διετία ο αριθμός των οφειλετών στην κατηγορία με χρέη &gt;20,000 (150,000 οφειλέτες). </w:t>
      </w:r>
    </w:p>
    <w:p w:rsidR="00D932C8" w:rsidRPr="003A180D" w:rsidRDefault="00D932C8" w:rsidP="0066182D">
      <w:pPr>
        <w:pStyle w:val="aa"/>
        <w:tabs>
          <w:tab w:val="num" w:pos="426"/>
        </w:tabs>
        <w:ind w:left="426"/>
        <w:jc w:val="both"/>
        <w:rPr>
          <w:rFonts w:ascii="Arial Narrow" w:hAnsi="Arial Narrow"/>
        </w:rPr>
      </w:pPr>
    </w:p>
    <w:p w:rsidR="00AF2A1D" w:rsidRPr="00AF2A1D" w:rsidRDefault="00AF2A1D" w:rsidP="00CE7B9F">
      <w:pPr>
        <w:tabs>
          <w:tab w:val="num" w:pos="426"/>
        </w:tabs>
        <w:ind w:left="426" w:hanging="425"/>
        <w:jc w:val="both"/>
        <w:rPr>
          <w:rFonts w:ascii="Arial Narrow" w:hAnsi="Arial Narrow"/>
          <w:color w:val="FF0000"/>
        </w:rPr>
      </w:pPr>
    </w:p>
    <w:tbl>
      <w:tblPr>
        <w:tblW w:w="8836" w:type="dxa"/>
        <w:tblLayout w:type="fixed"/>
        <w:tblLook w:val="01E0"/>
      </w:tblPr>
      <w:tblGrid>
        <w:gridCol w:w="8836"/>
      </w:tblGrid>
      <w:tr w:rsidR="00512E98" w:rsidRPr="00512E98" w:rsidTr="00512E98">
        <w:trPr>
          <w:trHeight w:val="114"/>
        </w:trPr>
        <w:tc>
          <w:tcPr>
            <w:tcW w:w="8836" w:type="dxa"/>
          </w:tcPr>
          <w:p w:rsidR="00512E98" w:rsidRPr="00512E98" w:rsidRDefault="00512E98" w:rsidP="00272557">
            <w:pPr>
              <w:rPr>
                <w:rFonts w:ascii="Arial Narrow" w:hAnsi="Arial Narrow"/>
                <w:b/>
                <w:bCs/>
                <w:sz w:val="20"/>
                <w:szCs w:val="20"/>
                <w:u w:val="single"/>
              </w:rPr>
            </w:pPr>
          </w:p>
          <w:p w:rsidR="00B640C8" w:rsidRDefault="00CD4D87" w:rsidP="00272557">
            <w:pPr>
              <w:rPr>
                <w:rFonts w:ascii="Arial Narrow" w:hAnsi="Arial Narrow"/>
                <w:b/>
                <w:bCs/>
                <w:sz w:val="20"/>
                <w:szCs w:val="20"/>
                <w:u w:val="single"/>
              </w:rPr>
            </w:pPr>
            <w:r>
              <w:rPr>
                <w:rFonts w:ascii="Arial Narrow" w:hAnsi="Arial Narrow"/>
                <w:b/>
                <w:bCs/>
                <w:sz w:val="20"/>
                <w:szCs w:val="20"/>
                <w:u w:val="single"/>
              </w:rPr>
              <w:t>ΓΡΑΦΗ</w:t>
            </w:r>
            <w:r w:rsidR="00B640C8" w:rsidRPr="00512E98">
              <w:rPr>
                <w:rFonts w:ascii="Arial Narrow" w:hAnsi="Arial Narrow"/>
                <w:b/>
                <w:bCs/>
                <w:sz w:val="20"/>
                <w:szCs w:val="20"/>
                <w:u w:val="single"/>
              </w:rPr>
              <w:t>ΜΑ 7- ΚΑΘΥΣΤΕΡΗΜΕΝΕΣ ΟΦΕΙΛΕΣ</w:t>
            </w:r>
          </w:p>
          <w:p w:rsidR="00512E98" w:rsidRPr="009D01B3" w:rsidRDefault="00512E98" w:rsidP="00512E98">
            <w:pPr>
              <w:rPr>
                <w:rFonts w:ascii="Arial Narrow" w:hAnsi="Arial Narrow"/>
                <w:b/>
                <w:bCs/>
                <w:sz w:val="20"/>
                <w:szCs w:val="20"/>
              </w:rPr>
            </w:pPr>
            <w:r w:rsidRPr="009D01B3">
              <w:rPr>
                <w:rFonts w:ascii="Arial Narrow" w:hAnsi="Arial Narrow"/>
                <w:b/>
                <w:bCs/>
                <w:sz w:val="20"/>
                <w:szCs w:val="20"/>
              </w:rPr>
              <w:t>Εσείς, κατά το τελευταίο εξάμηνο έχετε καθυστερημένες οφειλές…</w:t>
            </w:r>
          </w:p>
          <w:p w:rsidR="00512E98" w:rsidRDefault="00512E98" w:rsidP="00272557">
            <w:pPr>
              <w:rPr>
                <w:rFonts w:ascii="Arial Narrow" w:hAnsi="Arial Narrow"/>
                <w:b/>
                <w:bCs/>
                <w:sz w:val="20"/>
                <w:szCs w:val="20"/>
                <w:u w:val="single"/>
              </w:rPr>
            </w:pPr>
          </w:p>
          <w:p w:rsidR="00512E98" w:rsidRPr="00512E98" w:rsidRDefault="003F46F5" w:rsidP="00272557">
            <w:pPr>
              <w:rPr>
                <w:rFonts w:ascii="Arial Narrow" w:hAnsi="Arial Narrow"/>
                <w:b/>
                <w:bCs/>
                <w:sz w:val="20"/>
                <w:szCs w:val="20"/>
                <w:u w:val="single"/>
              </w:rPr>
            </w:pPr>
            <w:r>
              <w:rPr>
                <w:rFonts w:ascii="Arial Narrow" w:hAnsi="Arial Narrow"/>
                <w:b/>
                <w:bCs/>
                <w:noProof/>
                <w:color w:val="FF0000"/>
                <w:sz w:val="20"/>
                <w:szCs w:val="20"/>
              </w:rPr>
              <w:drawing>
                <wp:anchor distT="0" distB="0" distL="114300" distR="114300" simplePos="0" relativeHeight="251690496" behindDoc="0" locked="0" layoutInCell="1" allowOverlap="1">
                  <wp:simplePos x="0" y="0"/>
                  <wp:positionH relativeFrom="column">
                    <wp:posOffset>-28575</wp:posOffset>
                  </wp:positionH>
                  <wp:positionV relativeFrom="paragraph">
                    <wp:posOffset>12065</wp:posOffset>
                  </wp:positionV>
                  <wp:extent cx="5086350" cy="2276475"/>
                  <wp:effectExtent l="0" t="0" r="0" b="0"/>
                  <wp:wrapNone/>
                  <wp:docPr id="8" name="Γράφημα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r>
      <w:tr w:rsidR="00B640C8" w:rsidRPr="00AE61C4" w:rsidTr="00512E98">
        <w:trPr>
          <w:trHeight w:val="710"/>
        </w:trPr>
        <w:tc>
          <w:tcPr>
            <w:tcW w:w="8836" w:type="dxa"/>
          </w:tcPr>
          <w:p w:rsidR="00BE275B" w:rsidRPr="00AE61C4" w:rsidRDefault="00BE275B" w:rsidP="00BE275B">
            <w:pPr>
              <w:rPr>
                <w:rFonts w:ascii="Arial Narrow" w:hAnsi="Arial Narrow"/>
                <w:b/>
                <w:bCs/>
                <w:color w:val="FF0000"/>
                <w:sz w:val="20"/>
                <w:szCs w:val="20"/>
              </w:rPr>
            </w:pPr>
          </w:p>
        </w:tc>
      </w:tr>
    </w:tbl>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512E98" w:rsidRDefault="00512E98" w:rsidP="00512E98">
      <w:pPr>
        <w:jc w:val="both"/>
        <w:rPr>
          <w:rFonts w:ascii="Arial Narrow" w:hAnsi="Arial Narrow"/>
          <w:b/>
          <w:color w:val="FF0000"/>
          <w:u w:val="single"/>
        </w:rPr>
      </w:pPr>
    </w:p>
    <w:p w:rsidR="0066182D" w:rsidRDefault="0066182D" w:rsidP="00465F3B">
      <w:pPr>
        <w:jc w:val="both"/>
        <w:rPr>
          <w:rFonts w:ascii="Arial Narrow" w:hAnsi="Arial Narrow"/>
          <w:b/>
          <w:u w:val="single"/>
        </w:rPr>
      </w:pPr>
    </w:p>
    <w:p w:rsidR="0066182D" w:rsidRDefault="00CD4D87" w:rsidP="0066182D">
      <w:pPr>
        <w:rPr>
          <w:rFonts w:ascii="Arial Narrow" w:hAnsi="Arial Narrow"/>
          <w:b/>
          <w:bCs/>
          <w:sz w:val="20"/>
          <w:szCs w:val="20"/>
          <w:u w:val="single"/>
        </w:rPr>
      </w:pPr>
      <w:r>
        <w:rPr>
          <w:rFonts w:ascii="Arial Narrow" w:hAnsi="Arial Narrow"/>
          <w:b/>
          <w:bCs/>
          <w:sz w:val="20"/>
          <w:szCs w:val="20"/>
          <w:u w:val="single"/>
        </w:rPr>
        <w:t>ΓΡΑΦΗ</w:t>
      </w:r>
      <w:r w:rsidR="002C3A9B">
        <w:rPr>
          <w:rFonts w:ascii="Arial Narrow" w:hAnsi="Arial Narrow"/>
          <w:b/>
          <w:bCs/>
          <w:sz w:val="20"/>
          <w:szCs w:val="20"/>
          <w:u w:val="single"/>
        </w:rPr>
        <w:t>ΜΑ 8</w:t>
      </w:r>
      <w:r w:rsidR="0066182D" w:rsidRPr="00512E98">
        <w:rPr>
          <w:rFonts w:ascii="Arial Narrow" w:hAnsi="Arial Narrow"/>
          <w:b/>
          <w:bCs/>
          <w:sz w:val="20"/>
          <w:szCs w:val="20"/>
          <w:u w:val="single"/>
        </w:rPr>
        <w:t xml:space="preserve">- </w:t>
      </w:r>
      <w:r w:rsidR="002C3A9B">
        <w:rPr>
          <w:rFonts w:ascii="Arial Narrow" w:hAnsi="Arial Narrow"/>
          <w:b/>
          <w:bCs/>
          <w:sz w:val="20"/>
          <w:szCs w:val="20"/>
          <w:u w:val="single"/>
        </w:rPr>
        <w:t>ΥΠΑΓΩΓΗ ΣΤΗ ΡΥΘΜΙΣΗ  ΤΩΝ  100 ΔΟΣΕΩΝ</w:t>
      </w:r>
    </w:p>
    <w:p w:rsidR="0066182D" w:rsidRDefault="002C3A9B" w:rsidP="002C3A9B">
      <w:pPr>
        <w:jc w:val="both"/>
        <w:rPr>
          <w:rFonts w:ascii="Arial Narrow" w:hAnsi="Arial Narrow"/>
          <w:b/>
          <w:u w:val="single"/>
        </w:rPr>
      </w:pPr>
      <w:r>
        <w:rPr>
          <w:rFonts w:ascii="Arial Narrow" w:hAnsi="Arial Narrow"/>
          <w:b/>
          <w:noProof/>
          <w:u w:val="single"/>
        </w:rPr>
        <w:drawing>
          <wp:anchor distT="0" distB="0" distL="114300" distR="114300" simplePos="0" relativeHeight="251687424" behindDoc="0" locked="0" layoutInCell="1" allowOverlap="1">
            <wp:simplePos x="0" y="0"/>
            <wp:positionH relativeFrom="column">
              <wp:posOffset>45188</wp:posOffset>
            </wp:positionH>
            <wp:positionV relativeFrom="paragraph">
              <wp:posOffset>269003</wp:posOffset>
            </wp:positionV>
            <wp:extent cx="3742661" cy="1775637"/>
            <wp:effectExtent l="0" t="0" r="0" b="0"/>
            <wp:wrapNone/>
            <wp:docPr id="27" name="Γράφημα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2C3A9B">
        <w:rPr>
          <w:rFonts w:ascii="Arial Narrow" w:hAnsi="Arial Narrow"/>
          <w:b/>
          <w:bCs/>
          <w:sz w:val="20"/>
          <w:szCs w:val="20"/>
        </w:rPr>
        <w:t>Έχετε κάνει αίτηση για υπαγωγή στην τελευταία ρύθμιση των 100 δόσεων για οφειλές  στην εφορία</w:t>
      </w:r>
      <w:r>
        <w:rPr>
          <w:rFonts w:ascii="Arial Narrow" w:hAnsi="Arial Narrow"/>
          <w:b/>
          <w:bCs/>
          <w:sz w:val="20"/>
          <w:szCs w:val="20"/>
        </w:rPr>
        <w:t xml:space="preserve"> (Ιούλιος 2015)</w:t>
      </w:r>
      <w:r w:rsidRPr="002C3A9B">
        <w:rPr>
          <w:rFonts w:ascii="Arial Narrow" w:hAnsi="Arial Narrow"/>
          <w:b/>
          <w:bCs/>
          <w:sz w:val="20"/>
          <w:szCs w:val="20"/>
        </w:rPr>
        <w:t xml:space="preserve">; </w:t>
      </w:r>
      <w:r w:rsidRPr="002C3A9B">
        <w:rPr>
          <w:rFonts w:ascii="Arial Narrow" w:hAnsi="Arial Narrow"/>
          <w:b/>
          <w:bCs/>
          <w:sz w:val="20"/>
          <w:szCs w:val="20"/>
        </w:rPr>
        <w:br/>
      </w:r>
    </w:p>
    <w:tbl>
      <w:tblPr>
        <w:tblpPr w:leftFromText="180" w:rightFromText="180" w:vertAnchor="text" w:horzAnchor="margin" w:tblpXSpec="right" w:tblpY="21"/>
        <w:tblW w:w="3944" w:type="dxa"/>
        <w:tblCellMar>
          <w:left w:w="0" w:type="dxa"/>
          <w:right w:w="0" w:type="dxa"/>
        </w:tblCellMar>
        <w:tblLook w:val="0600"/>
      </w:tblPr>
      <w:tblGrid>
        <w:gridCol w:w="1827"/>
        <w:gridCol w:w="2117"/>
      </w:tblGrid>
      <w:tr w:rsidR="002C3A9B" w:rsidTr="002C3A9B">
        <w:trPr>
          <w:trHeight w:val="205"/>
        </w:trPr>
        <w:tc>
          <w:tcPr>
            <w:tcW w:w="1827" w:type="dxa"/>
            <w:tcBorders>
              <w:top w:val="single" w:sz="8" w:space="0" w:color="000000"/>
              <w:left w:val="single" w:sz="8" w:space="0" w:color="000000"/>
              <w:bottom w:val="nil"/>
              <w:right w:val="single" w:sz="8" w:space="0" w:color="000000"/>
            </w:tcBorders>
            <w:shd w:val="clear" w:color="auto" w:fill="C0504D"/>
            <w:tcMar>
              <w:top w:w="15" w:type="dxa"/>
              <w:left w:w="15" w:type="dxa"/>
              <w:bottom w:w="0" w:type="dxa"/>
              <w:right w:w="15" w:type="dxa"/>
            </w:tcMar>
            <w:vAlign w:val="bottom"/>
            <w:hideMark/>
          </w:tcPr>
          <w:p w:rsidR="002C3A9B" w:rsidRPr="002C3A9B" w:rsidRDefault="002C3A9B" w:rsidP="002C3A9B">
            <w:pPr>
              <w:pStyle w:val="Web"/>
              <w:spacing w:before="0" w:beforeAutospacing="0" w:after="0" w:afterAutospacing="0" w:line="315" w:lineRule="atLeast"/>
              <w:textAlignment w:val="bottom"/>
              <w:rPr>
                <w:rFonts w:ascii="Arial" w:hAnsi="Arial" w:cs="Arial"/>
                <w:sz w:val="14"/>
                <w:szCs w:val="14"/>
              </w:rPr>
            </w:pPr>
          </w:p>
        </w:tc>
        <w:tc>
          <w:tcPr>
            <w:tcW w:w="2117" w:type="dxa"/>
            <w:tcBorders>
              <w:top w:val="single" w:sz="8" w:space="0" w:color="000000"/>
              <w:left w:val="single" w:sz="8" w:space="0" w:color="000000"/>
              <w:bottom w:val="single" w:sz="8" w:space="0" w:color="000000"/>
              <w:right w:val="single" w:sz="8" w:space="0" w:color="000000"/>
            </w:tcBorders>
            <w:shd w:val="clear" w:color="auto" w:fill="C0504D"/>
            <w:tcMar>
              <w:top w:w="15" w:type="dxa"/>
              <w:left w:w="15" w:type="dxa"/>
              <w:bottom w:w="0" w:type="dxa"/>
              <w:right w:w="15" w:type="dxa"/>
            </w:tcMar>
            <w:vAlign w:val="center"/>
            <w:hideMark/>
          </w:tcPr>
          <w:p w:rsidR="002C3A9B" w:rsidRPr="002C3A9B" w:rsidRDefault="002C3A9B" w:rsidP="002C3A9B">
            <w:pPr>
              <w:pStyle w:val="Web"/>
              <w:spacing w:before="0" w:beforeAutospacing="0" w:after="0" w:afterAutospacing="0" w:line="315" w:lineRule="atLeast"/>
              <w:jc w:val="center"/>
              <w:textAlignment w:val="center"/>
              <w:rPr>
                <w:rFonts w:ascii="Arial" w:hAnsi="Arial" w:cs="Arial"/>
                <w:sz w:val="14"/>
                <w:szCs w:val="14"/>
              </w:rPr>
            </w:pPr>
            <w:r w:rsidRPr="002C3A9B">
              <w:rPr>
                <w:rFonts w:ascii="Tahoma" w:hAnsi="Tahoma" w:cs="Tahoma"/>
                <w:b/>
                <w:bCs/>
                <w:color w:val="FFFFFF"/>
                <w:kern w:val="24"/>
                <w:sz w:val="14"/>
                <w:szCs w:val="14"/>
              </w:rPr>
              <w:t>ΦΕΒΡΟΥΑΡΙΟΣ 2015</w:t>
            </w:r>
          </w:p>
        </w:tc>
      </w:tr>
      <w:tr w:rsidR="002C3A9B" w:rsidTr="002C3A9B">
        <w:trPr>
          <w:trHeight w:val="440"/>
        </w:trPr>
        <w:tc>
          <w:tcPr>
            <w:tcW w:w="1827" w:type="dxa"/>
            <w:tcBorders>
              <w:top w:val="nil"/>
              <w:left w:val="single" w:sz="8" w:space="0" w:color="000000"/>
              <w:bottom w:val="single" w:sz="4" w:space="0" w:color="000000"/>
              <w:right w:val="single" w:sz="8" w:space="0" w:color="000000"/>
            </w:tcBorders>
            <w:shd w:val="clear" w:color="auto" w:fill="C0504D"/>
            <w:tcMar>
              <w:top w:w="15" w:type="dxa"/>
              <w:left w:w="15" w:type="dxa"/>
              <w:bottom w:w="0" w:type="dxa"/>
              <w:right w:w="15" w:type="dxa"/>
            </w:tcMar>
            <w:vAlign w:val="bottom"/>
            <w:hideMark/>
          </w:tcPr>
          <w:p w:rsidR="002C3A9B" w:rsidRPr="002C3A9B" w:rsidRDefault="002C3A9B" w:rsidP="002C3A9B">
            <w:pPr>
              <w:pStyle w:val="Web"/>
              <w:spacing w:before="0" w:beforeAutospacing="0" w:after="0" w:afterAutospacing="0"/>
              <w:textAlignment w:val="bottom"/>
              <w:rPr>
                <w:rFonts w:ascii="Arial" w:hAnsi="Arial" w:cs="Arial"/>
                <w:sz w:val="14"/>
                <w:szCs w:val="14"/>
              </w:rPr>
            </w:pPr>
            <w:r w:rsidRPr="002C3A9B">
              <w:rPr>
                <w:rFonts w:ascii="Tahoma" w:hAnsi="Tahoma" w:cs="Tahoma"/>
                <w:color w:val="000000"/>
                <w:kern w:val="24"/>
                <w:sz w:val="14"/>
                <w:szCs w:val="14"/>
              </w:rPr>
              <w:t> </w:t>
            </w:r>
          </w:p>
        </w:tc>
        <w:tc>
          <w:tcPr>
            <w:tcW w:w="2117" w:type="dxa"/>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2C3A9B" w:rsidRPr="002C3A9B" w:rsidRDefault="002C3A9B" w:rsidP="002C3A9B">
            <w:pPr>
              <w:pStyle w:val="Web"/>
              <w:spacing w:before="0" w:beforeAutospacing="0" w:after="0" w:afterAutospacing="0"/>
              <w:jc w:val="center"/>
              <w:textAlignment w:val="center"/>
              <w:rPr>
                <w:rFonts w:ascii="Arial" w:hAnsi="Arial" w:cs="Arial"/>
                <w:sz w:val="14"/>
                <w:szCs w:val="14"/>
              </w:rPr>
            </w:pPr>
            <w:r w:rsidRPr="002C3A9B">
              <w:rPr>
                <w:rFonts w:ascii="Tahoma" w:hAnsi="Tahoma" w:cs="Tahoma"/>
                <w:b/>
                <w:bCs/>
                <w:color w:val="990033"/>
                <w:kern w:val="24"/>
                <w:sz w:val="14"/>
                <w:szCs w:val="14"/>
              </w:rPr>
              <w:t>Έχετε κάνει αίτηση για υπαγωγή στην ρύθμιση των 72 ή 100 δόσεων;</w:t>
            </w:r>
          </w:p>
        </w:tc>
      </w:tr>
      <w:tr w:rsidR="002C3A9B" w:rsidTr="002C3A9B">
        <w:trPr>
          <w:trHeight w:val="195"/>
        </w:trPr>
        <w:tc>
          <w:tcPr>
            <w:tcW w:w="182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2C3A9B" w:rsidRPr="002C3A9B" w:rsidRDefault="002C3A9B" w:rsidP="002C3A9B">
            <w:pPr>
              <w:pStyle w:val="Web"/>
              <w:spacing w:before="0" w:beforeAutospacing="0" w:after="0" w:afterAutospacing="0" w:line="300" w:lineRule="atLeast"/>
              <w:textAlignment w:val="bottom"/>
              <w:rPr>
                <w:rFonts w:ascii="Arial" w:hAnsi="Arial" w:cs="Arial"/>
                <w:sz w:val="14"/>
                <w:szCs w:val="14"/>
              </w:rPr>
            </w:pPr>
            <w:r w:rsidRPr="002C3A9B">
              <w:rPr>
                <w:rFonts w:ascii="Calibri" w:hAnsi="Calibri" w:cs="Arial"/>
                <w:color w:val="000000"/>
                <w:kern w:val="24"/>
                <w:sz w:val="14"/>
                <w:szCs w:val="14"/>
              </w:rPr>
              <w:t>Ναι</w:t>
            </w:r>
          </w:p>
        </w:tc>
        <w:tc>
          <w:tcPr>
            <w:tcW w:w="211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2C3A9B" w:rsidRPr="002C3A9B" w:rsidRDefault="002C3A9B" w:rsidP="002C3A9B">
            <w:pPr>
              <w:pStyle w:val="Web"/>
              <w:spacing w:before="0" w:beforeAutospacing="0" w:after="0" w:afterAutospacing="0" w:line="300" w:lineRule="atLeast"/>
              <w:jc w:val="center"/>
              <w:textAlignment w:val="center"/>
              <w:rPr>
                <w:rFonts w:ascii="Arial" w:hAnsi="Arial" w:cs="Arial"/>
                <w:sz w:val="14"/>
                <w:szCs w:val="14"/>
              </w:rPr>
            </w:pPr>
            <w:r w:rsidRPr="002C3A9B">
              <w:rPr>
                <w:rFonts w:ascii="Arial" w:hAnsi="Arial" w:cs="Arial"/>
                <w:color w:val="000000"/>
                <w:kern w:val="24"/>
                <w:sz w:val="14"/>
                <w:szCs w:val="14"/>
              </w:rPr>
              <w:t>11,5</w:t>
            </w:r>
          </w:p>
        </w:tc>
      </w:tr>
      <w:tr w:rsidR="002C3A9B" w:rsidTr="002C3A9B">
        <w:trPr>
          <w:trHeight w:val="195"/>
        </w:trPr>
        <w:tc>
          <w:tcPr>
            <w:tcW w:w="1827" w:type="dxa"/>
            <w:tcBorders>
              <w:top w:val="single" w:sz="4" w:space="0" w:color="000000"/>
              <w:left w:val="single" w:sz="8"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rsidR="002C3A9B" w:rsidRPr="002C3A9B" w:rsidRDefault="002C3A9B" w:rsidP="002C3A9B">
            <w:pPr>
              <w:pStyle w:val="Web"/>
              <w:spacing w:before="0" w:beforeAutospacing="0" w:after="0" w:afterAutospacing="0" w:line="300" w:lineRule="atLeast"/>
              <w:textAlignment w:val="bottom"/>
              <w:rPr>
                <w:rFonts w:ascii="Arial" w:hAnsi="Arial" w:cs="Arial"/>
                <w:sz w:val="14"/>
                <w:szCs w:val="14"/>
              </w:rPr>
            </w:pPr>
            <w:r w:rsidRPr="002C3A9B">
              <w:rPr>
                <w:rFonts w:ascii="Calibri" w:hAnsi="Calibri" w:cs="Arial"/>
                <w:color w:val="000000"/>
                <w:kern w:val="24"/>
                <w:sz w:val="14"/>
                <w:szCs w:val="14"/>
              </w:rPr>
              <w:t>Σκέφτομαι να κάνω</w:t>
            </w:r>
          </w:p>
        </w:tc>
        <w:tc>
          <w:tcPr>
            <w:tcW w:w="2117" w:type="dxa"/>
            <w:tcBorders>
              <w:top w:val="single" w:sz="4" w:space="0" w:color="000000"/>
              <w:left w:val="single" w:sz="8"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2C3A9B" w:rsidRPr="002C3A9B" w:rsidRDefault="002C3A9B" w:rsidP="002C3A9B">
            <w:pPr>
              <w:pStyle w:val="Web"/>
              <w:spacing w:before="0" w:beforeAutospacing="0" w:after="0" w:afterAutospacing="0" w:line="300" w:lineRule="atLeast"/>
              <w:jc w:val="center"/>
              <w:textAlignment w:val="center"/>
              <w:rPr>
                <w:rFonts w:ascii="Arial" w:hAnsi="Arial" w:cs="Arial"/>
                <w:sz w:val="14"/>
                <w:szCs w:val="14"/>
              </w:rPr>
            </w:pPr>
            <w:r w:rsidRPr="002C3A9B">
              <w:rPr>
                <w:rFonts w:ascii="Arial" w:hAnsi="Arial" w:cs="Arial"/>
                <w:color w:val="000000"/>
                <w:kern w:val="24"/>
                <w:sz w:val="14"/>
                <w:szCs w:val="14"/>
              </w:rPr>
              <w:t>12,7</w:t>
            </w:r>
          </w:p>
        </w:tc>
      </w:tr>
      <w:tr w:rsidR="002C3A9B" w:rsidTr="002C3A9B">
        <w:trPr>
          <w:trHeight w:val="205"/>
        </w:trPr>
        <w:tc>
          <w:tcPr>
            <w:tcW w:w="182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2C3A9B" w:rsidRPr="002C3A9B" w:rsidRDefault="002C3A9B" w:rsidP="002C3A9B">
            <w:pPr>
              <w:pStyle w:val="Web"/>
              <w:spacing w:before="0" w:beforeAutospacing="0" w:after="0" w:afterAutospacing="0" w:line="315" w:lineRule="atLeast"/>
              <w:textAlignment w:val="bottom"/>
              <w:rPr>
                <w:rFonts w:ascii="Arial" w:hAnsi="Arial" w:cs="Arial"/>
                <w:sz w:val="14"/>
                <w:szCs w:val="14"/>
              </w:rPr>
            </w:pPr>
            <w:r w:rsidRPr="002C3A9B">
              <w:rPr>
                <w:rFonts w:ascii="Calibri" w:hAnsi="Calibri" w:cs="Arial"/>
                <w:color w:val="000000"/>
                <w:kern w:val="24"/>
                <w:sz w:val="14"/>
                <w:szCs w:val="14"/>
              </w:rPr>
              <w:t>Όχι</w:t>
            </w:r>
          </w:p>
        </w:tc>
        <w:tc>
          <w:tcPr>
            <w:tcW w:w="2117" w:type="dxa"/>
            <w:tcBorders>
              <w:top w:val="single" w:sz="4" w:space="0" w:color="000000"/>
              <w:left w:val="single" w:sz="8"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2C3A9B" w:rsidRPr="002C3A9B" w:rsidRDefault="002C3A9B" w:rsidP="002C3A9B">
            <w:pPr>
              <w:pStyle w:val="Web"/>
              <w:spacing w:before="0" w:beforeAutospacing="0" w:after="0" w:afterAutospacing="0" w:line="315" w:lineRule="atLeast"/>
              <w:jc w:val="center"/>
              <w:textAlignment w:val="center"/>
              <w:rPr>
                <w:rFonts w:ascii="Arial" w:hAnsi="Arial" w:cs="Arial"/>
                <w:sz w:val="14"/>
                <w:szCs w:val="14"/>
              </w:rPr>
            </w:pPr>
            <w:r w:rsidRPr="002C3A9B">
              <w:rPr>
                <w:rFonts w:ascii="Arial" w:hAnsi="Arial" w:cs="Arial"/>
                <w:color w:val="000000"/>
                <w:kern w:val="24"/>
                <w:sz w:val="14"/>
                <w:szCs w:val="14"/>
              </w:rPr>
              <w:t>74,5</w:t>
            </w:r>
          </w:p>
        </w:tc>
      </w:tr>
      <w:tr w:rsidR="002C3A9B" w:rsidTr="002C3A9B">
        <w:trPr>
          <w:trHeight w:val="195"/>
        </w:trPr>
        <w:tc>
          <w:tcPr>
            <w:tcW w:w="1827" w:type="dxa"/>
            <w:tcBorders>
              <w:top w:val="single" w:sz="4" w:space="0" w:color="000000"/>
              <w:left w:val="single" w:sz="8" w:space="0" w:color="000000"/>
              <w:bottom w:val="single" w:sz="4" w:space="0" w:color="000000"/>
              <w:right w:val="single" w:sz="8" w:space="0" w:color="000000"/>
            </w:tcBorders>
            <w:shd w:val="clear" w:color="auto" w:fill="F2F2F2"/>
            <w:tcMar>
              <w:top w:w="15" w:type="dxa"/>
              <w:left w:w="15" w:type="dxa"/>
              <w:bottom w:w="0" w:type="dxa"/>
              <w:right w:w="15" w:type="dxa"/>
            </w:tcMar>
            <w:vAlign w:val="bottom"/>
            <w:hideMark/>
          </w:tcPr>
          <w:p w:rsidR="002C3A9B" w:rsidRPr="002C3A9B" w:rsidRDefault="002C3A9B" w:rsidP="002C3A9B">
            <w:pPr>
              <w:pStyle w:val="Web"/>
              <w:spacing w:before="0" w:beforeAutospacing="0" w:after="0" w:afterAutospacing="0" w:line="300" w:lineRule="atLeast"/>
              <w:textAlignment w:val="bottom"/>
              <w:rPr>
                <w:rFonts w:ascii="Arial" w:hAnsi="Arial" w:cs="Arial"/>
                <w:sz w:val="14"/>
                <w:szCs w:val="14"/>
              </w:rPr>
            </w:pPr>
            <w:r w:rsidRPr="002C3A9B">
              <w:rPr>
                <w:rFonts w:ascii="Calibri" w:hAnsi="Calibri" w:cs="Arial"/>
                <w:color w:val="000000"/>
                <w:kern w:val="24"/>
                <w:sz w:val="14"/>
                <w:szCs w:val="14"/>
              </w:rPr>
              <w:t>Δ Α</w:t>
            </w:r>
          </w:p>
        </w:tc>
        <w:tc>
          <w:tcPr>
            <w:tcW w:w="2117" w:type="dxa"/>
            <w:tcBorders>
              <w:top w:val="single" w:sz="4" w:space="0" w:color="000000"/>
              <w:left w:val="single" w:sz="8" w:space="0" w:color="000000"/>
              <w:bottom w:val="single" w:sz="4" w:space="0" w:color="000000"/>
              <w:right w:val="single" w:sz="8" w:space="0" w:color="000000"/>
            </w:tcBorders>
            <w:shd w:val="clear" w:color="auto" w:fill="F2F2F2"/>
            <w:tcMar>
              <w:top w:w="15" w:type="dxa"/>
              <w:left w:w="15" w:type="dxa"/>
              <w:bottom w:w="0" w:type="dxa"/>
              <w:right w:w="15" w:type="dxa"/>
            </w:tcMar>
            <w:vAlign w:val="center"/>
            <w:hideMark/>
          </w:tcPr>
          <w:p w:rsidR="002C3A9B" w:rsidRPr="002C3A9B" w:rsidRDefault="002C3A9B" w:rsidP="002C3A9B">
            <w:pPr>
              <w:pStyle w:val="Web"/>
              <w:spacing w:before="0" w:beforeAutospacing="0" w:after="0" w:afterAutospacing="0" w:line="300" w:lineRule="atLeast"/>
              <w:jc w:val="center"/>
              <w:textAlignment w:val="center"/>
              <w:rPr>
                <w:rFonts w:ascii="Arial" w:hAnsi="Arial" w:cs="Arial"/>
                <w:sz w:val="14"/>
                <w:szCs w:val="14"/>
              </w:rPr>
            </w:pPr>
            <w:r w:rsidRPr="002C3A9B">
              <w:rPr>
                <w:rFonts w:ascii="Arial" w:hAnsi="Arial" w:cs="Arial"/>
                <w:color w:val="000000"/>
                <w:kern w:val="24"/>
                <w:sz w:val="14"/>
                <w:szCs w:val="14"/>
              </w:rPr>
              <w:t>1,3</w:t>
            </w:r>
          </w:p>
        </w:tc>
      </w:tr>
    </w:tbl>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66182D" w:rsidRDefault="0066182D" w:rsidP="0066182D">
      <w:pPr>
        <w:ind w:left="1080"/>
        <w:jc w:val="both"/>
        <w:rPr>
          <w:rFonts w:ascii="Arial Narrow" w:hAnsi="Arial Narrow"/>
          <w:b/>
          <w:u w:val="single"/>
        </w:rPr>
      </w:pPr>
    </w:p>
    <w:p w:rsidR="002C3A9B" w:rsidRDefault="002C3A9B" w:rsidP="002C3A9B">
      <w:pPr>
        <w:jc w:val="both"/>
        <w:rPr>
          <w:rFonts w:ascii="Arial Narrow" w:hAnsi="Arial Narrow"/>
          <w:b/>
          <w:color w:val="FF0000"/>
          <w:u w:val="single"/>
        </w:rPr>
      </w:pPr>
    </w:p>
    <w:p w:rsidR="00460403" w:rsidRDefault="00460403" w:rsidP="0059229F">
      <w:pPr>
        <w:jc w:val="both"/>
        <w:rPr>
          <w:rFonts w:ascii="Arial Narrow" w:hAnsi="Arial Narrow"/>
          <w:b/>
          <w:u w:val="single"/>
        </w:rPr>
      </w:pPr>
    </w:p>
    <w:p w:rsidR="0064755D" w:rsidRDefault="0064755D" w:rsidP="0059229F">
      <w:pPr>
        <w:jc w:val="both"/>
        <w:rPr>
          <w:rFonts w:ascii="Arial Narrow" w:hAnsi="Arial Narrow"/>
          <w:b/>
          <w:u w:val="single"/>
        </w:rPr>
      </w:pPr>
    </w:p>
    <w:p w:rsidR="0059229F" w:rsidRPr="0064755D" w:rsidRDefault="0059229F" w:rsidP="0059229F">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lastRenderedPageBreak/>
        <w:t xml:space="preserve">ΕΙΔΙΚΟ ΘΕΜΑ </w:t>
      </w:r>
      <w:proofErr w:type="spellStart"/>
      <w:r>
        <w:rPr>
          <w:rFonts w:ascii="Arial Narrow" w:hAnsi="Arial Narrow"/>
          <w:b/>
          <w:u w:val="single"/>
        </w:rPr>
        <w:t>ΜμΕ</w:t>
      </w:r>
      <w:proofErr w:type="spellEnd"/>
      <w:r>
        <w:rPr>
          <w:rFonts w:ascii="Arial Narrow" w:hAnsi="Arial Narrow"/>
          <w:b/>
          <w:u w:val="single"/>
        </w:rPr>
        <w:t>- ΕΠΙΠΤΩΣΕΙΣ ΚΕΦΑΛΑΙΑΚΩΝ ΕΛΕΓΧΩΝ</w:t>
      </w:r>
    </w:p>
    <w:p w:rsidR="0059229F" w:rsidRDefault="0059229F" w:rsidP="0059229F">
      <w:pPr>
        <w:jc w:val="both"/>
        <w:rPr>
          <w:rFonts w:ascii="Arial Narrow" w:hAnsi="Arial Narrow"/>
          <w:b/>
          <w:u w:val="single"/>
        </w:rPr>
      </w:pPr>
    </w:p>
    <w:p w:rsidR="0059229F" w:rsidRPr="00DD1914" w:rsidRDefault="0059229F" w:rsidP="0059229F">
      <w:pPr>
        <w:pStyle w:val="aa"/>
        <w:numPr>
          <w:ilvl w:val="0"/>
          <w:numId w:val="27"/>
        </w:numPr>
        <w:ind w:left="426" w:hanging="426"/>
        <w:jc w:val="both"/>
        <w:rPr>
          <w:rFonts w:ascii="Arial Narrow" w:hAnsi="Arial Narrow"/>
        </w:rPr>
      </w:pPr>
      <w:r w:rsidRPr="00DD1914">
        <w:rPr>
          <w:rFonts w:ascii="Arial Narrow" w:hAnsi="Arial Narrow"/>
        </w:rPr>
        <w:t>Οι</w:t>
      </w:r>
      <w:r w:rsidRPr="0059229F">
        <w:rPr>
          <w:rFonts w:ascii="Arial Narrow" w:hAnsi="Arial Narrow"/>
        </w:rPr>
        <w:t xml:space="preserve"> επιπτώσεις από την επιβολή κεφαλαιακών ελέγχων υπήρξαν ιδιαίτερα οδυνηρές για τις </w:t>
      </w:r>
      <w:proofErr w:type="spellStart"/>
      <w:r w:rsidRPr="0059229F">
        <w:rPr>
          <w:rFonts w:ascii="Arial Narrow" w:hAnsi="Arial Narrow"/>
        </w:rPr>
        <w:t>ΜμΕ</w:t>
      </w:r>
      <w:proofErr w:type="spellEnd"/>
      <w:r w:rsidRPr="0059229F">
        <w:rPr>
          <w:rFonts w:ascii="Arial Narrow" w:hAnsi="Arial Narrow"/>
        </w:rPr>
        <w:t>.  Κάθετη πτώση στο κύκλο εργασιών τους λόγω της επιβολής κεφαλαιακών έλεγχων (</w:t>
      </w:r>
      <w:proofErr w:type="spellStart"/>
      <w:r w:rsidRPr="0059229F">
        <w:rPr>
          <w:rFonts w:ascii="Arial Narrow" w:hAnsi="Arial Narrow"/>
        </w:rPr>
        <w:t>capital</w:t>
      </w:r>
      <w:proofErr w:type="spellEnd"/>
      <w:r w:rsidRPr="0059229F">
        <w:rPr>
          <w:rFonts w:ascii="Arial Narrow" w:hAnsi="Arial Narrow"/>
        </w:rPr>
        <w:t xml:space="preserve"> </w:t>
      </w:r>
      <w:proofErr w:type="spellStart"/>
      <w:r w:rsidRPr="0059229F">
        <w:rPr>
          <w:rFonts w:ascii="Arial Narrow" w:hAnsi="Arial Narrow"/>
        </w:rPr>
        <w:t>controls</w:t>
      </w:r>
      <w:proofErr w:type="spellEnd"/>
      <w:r w:rsidRPr="0059229F">
        <w:rPr>
          <w:rFonts w:ascii="Arial Narrow" w:hAnsi="Arial Narrow"/>
        </w:rPr>
        <w:t xml:space="preserve">) σημείωσαν 9 στις 10 επιχειρήσεις.  3 στις 10 επιχειρήσεις σημείωσαν μείωση πάνω από 70% ενώ συνολικά για τις επιχειρήσεις η μείωση του κύκλου εργασιών ήταν </w:t>
      </w:r>
      <w:proofErr w:type="spellStart"/>
      <w:r w:rsidRPr="0059229F">
        <w:rPr>
          <w:rFonts w:ascii="Arial Narrow" w:hAnsi="Arial Narrow"/>
        </w:rPr>
        <w:t>μεσοσταθμικά</w:t>
      </w:r>
      <w:proofErr w:type="spellEnd"/>
      <w:r w:rsidRPr="0059229F">
        <w:rPr>
          <w:rFonts w:ascii="Arial Narrow" w:hAnsi="Arial Narrow"/>
        </w:rPr>
        <w:t xml:space="preserve"> 48%. </w:t>
      </w:r>
      <w:r w:rsidRPr="00DD1914">
        <w:rPr>
          <w:rFonts w:ascii="Arial Narrow" w:hAnsi="Arial Narrow"/>
        </w:rPr>
        <w:t>Άμεση συνέπεια ήταν η συρρίκνωση της κατανάλωσης κατά 50% ή κατά 3,8 δισ. € κατά το διάστημα αυτό. Με μια μετριοπαθή εκτίμηση υπολογίζεται ότι από αυτή την μείωση το ελληνικό δημόσιο έχασε 570 εκ. ευρώ από έμμεσους φόρους.</w:t>
      </w:r>
    </w:p>
    <w:p w:rsidR="0059229F" w:rsidRPr="003F46F5" w:rsidRDefault="0059229F" w:rsidP="0059229F">
      <w:pPr>
        <w:pStyle w:val="aa"/>
        <w:ind w:left="426" w:hanging="426"/>
        <w:jc w:val="both"/>
        <w:rPr>
          <w:rFonts w:ascii="Arial Narrow" w:hAnsi="Arial Narrow"/>
        </w:rPr>
      </w:pPr>
    </w:p>
    <w:p w:rsidR="0059229F" w:rsidRPr="0059229F" w:rsidRDefault="0059229F" w:rsidP="0059229F">
      <w:pPr>
        <w:pStyle w:val="aa"/>
        <w:numPr>
          <w:ilvl w:val="0"/>
          <w:numId w:val="27"/>
        </w:numPr>
        <w:ind w:left="426" w:hanging="426"/>
        <w:jc w:val="both"/>
        <w:rPr>
          <w:rFonts w:ascii="Arial Narrow" w:hAnsi="Arial Narrow"/>
        </w:rPr>
      </w:pPr>
      <w:r w:rsidRPr="0059229F">
        <w:rPr>
          <w:rFonts w:ascii="Arial Narrow" w:hAnsi="Arial Narrow"/>
        </w:rPr>
        <w:t xml:space="preserve">Οι μικρές επιχειρήσεις ήταν απροετοίμαστες να αντιμετωπίσουν τις επιπτώσεις από την επιβολή των </w:t>
      </w:r>
      <w:proofErr w:type="spellStart"/>
      <w:r w:rsidRPr="0059229F">
        <w:rPr>
          <w:rFonts w:ascii="Arial Narrow" w:hAnsi="Arial Narrow"/>
        </w:rPr>
        <w:t>capital</w:t>
      </w:r>
      <w:proofErr w:type="spellEnd"/>
      <w:r w:rsidRPr="0059229F">
        <w:rPr>
          <w:rFonts w:ascii="Arial Narrow" w:hAnsi="Arial Narrow"/>
        </w:rPr>
        <w:t xml:space="preserve"> </w:t>
      </w:r>
      <w:proofErr w:type="spellStart"/>
      <w:r w:rsidRPr="0059229F">
        <w:rPr>
          <w:rFonts w:ascii="Arial Narrow" w:hAnsi="Arial Narrow"/>
        </w:rPr>
        <w:t>controls</w:t>
      </w:r>
      <w:proofErr w:type="spellEnd"/>
      <w:r w:rsidRPr="0059229F">
        <w:rPr>
          <w:rFonts w:ascii="Arial Narrow" w:hAnsi="Arial Narrow"/>
        </w:rPr>
        <w:t xml:space="preserve"> και το κλείσιμο των τραπεζών. Πιο συγκεκριμένα μόνο 1 στις 2 επιχειρήσεις  χρησιμοποιεί e-</w:t>
      </w:r>
      <w:proofErr w:type="spellStart"/>
      <w:r w:rsidRPr="0059229F">
        <w:rPr>
          <w:rFonts w:ascii="Arial Narrow" w:hAnsi="Arial Narrow"/>
        </w:rPr>
        <w:t>banking</w:t>
      </w:r>
      <w:proofErr w:type="spellEnd"/>
      <w:r w:rsidRPr="0059229F">
        <w:rPr>
          <w:rFonts w:ascii="Arial Narrow" w:hAnsi="Arial Narrow"/>
        </w:rPr>
        <w:t xml:space="preserve"> για τις συναλλαγές της με πελάτες και προμηθευτές, ενώ 7 στις 10 δεν διαθέτουν συσκευές  EFT/POS προκειμένου να πραγματοποιούν συναλλαγές με πιστωτικές, χρεωστικές και προπληρωμένες κάρτες.  Ειδικότερα στις υπηρεσίες 6 στις 10 επιχειρήσεις δεν διαθέτουν e-</w:t>
      </w:r>
      <w:proofErr w:type="spellStart"/>
      <w:r w:rsidRPr="0059229F">
        <w:rPr>
          <w:rFonts w:ascii="Arial Narrow" w:hAnsi="Arial Narrow"/>
        </w:rPr>
        <w:t>banking</w:t>
      </w:r>
      <w:proofErr w:type="spellEnd"/>
      <w:r w:rsidRPr="0059229F">
        <w:rPr>
          <w:rFonts w:ascii="Arial Narrow" w:hAnsi="Arial Narrow"/>
        </w:rPr>
        <w:t xml:space="preserve"> και στο εμπόριο το αντίστοιχο ποσοστό είναι 53,3%, ενώ το ποσοστό αυτό εκτινάσσεται στους αυτοαπασχολούμενους καθώς 7 στους 10  δεν διαθέτουν e-</w:t>
      </w:r>
      <w:proofErr w:type="spellStart"/>
      <w:r w:rsidRPr="0059229F">
        <w:rPr>
          <w:rFonts w:ascii="Arial Narrow" w:hAnsi="Arial Narrow"/>
        </w:rPr>
        <w:t>banking</w:t>
      </w:r>
      <w:proofErr w:type="spellEnd"/>
      <w:r w:rsidRPr="0059229F">
        <w:rPr>
          <w:rFonts w:ascii="Arial Narrow" w:hAnsi="Arial Narrow"/>
        </w:rPr>
        <w:t>. Εκτιμάται ότι το υψηλό κόστος αγοράς των μηχανών, αλλά και το υψηλό αναλογικό κόστος προμήθειας επί του τζίρου απέτρεψε τις μικρές επιχειρήσεις από την έγκαιρη προσαρμογή τους.</w:t>
      </w:r>
    </w:p>
    <w:p w:rsidR="0059229F" w:rsidRDefault="0059229F" w:rsidP="0059229F">
      <w:pPr>
        <w:ind w:left="360"/>
        <w:jc w:val="both"/>
        <w:rPr>
          <w:rFonts w:ascii="Arial Narrow" w:hAnsi="Arial Narrow"/>
          <w:b/>
          <w:u w:val="single"/>
        </w:rPr>
      </w:pPr>
    </w:p>
    <w:p w:rsidR="0059229F" w:rsidRDefault="0059229F" w:rsidP="0059229F">
      <w:pPr>
        <w:rPr>
          <w:rFonts w:ascii="Arial Narrow" w:hAnsi="Arial Narrow"/>
          <w:b/>
          <w:bCs/>
          <w:sz w:val="20"/>
          <w:szCs w:val="20"/>
          <w:highlight w:val="yellow"/>
          <w:u w:val="single"/>
        </w:rPr>
      </w:pPr>
    </w:p>
    <w:p w:rsidR="0059229F" w:rsidRPr="005B6C38" w:rsidRDefault="0059229F" w:rsidP="0059229F">
      <w:pPr>
        <w:rPr>
          <w:rFonts w:ascii="Arial Narrow" w:hAnsi="Arial Narrow"/>
          <w:b/>
          <w:bCs/>
          <w:sz w:val="20"/>
          <w:szCs w:val="20"/>
          <w:u w:val="single"/>
        </w:rPr>
      </w:pPr>
      <w:r w:rsidRPr="005B6C38">
        <w:rPr>
          <w:rFonts w:ascii="Arial Narrow" w:hAnsi="Arial Narrow"/>
          <w:b/>
          <w:bCs/>
          <w:sz w:val="20"/>
          <w:szCs w:val="20"/>
          <w:u w:val="single"/>
        </w:rPr>
        <w:t>ΓΡΑΦΗΜΑ 9- ΕΠΙΠΤΩΣΕΙΣ ΚΕΦΑΛΑΙΑΚΩΝ ΕΛΕΓΧΩΝ</w:t>
      </w:r>
    </w:p>
    <w:p w:rsidR="0059229F" w:rsidRPr="00F05A8D" w:rsidRDefault="00F05A8D" w:rsidP="0059229F">
      <w:pPr>
        <w:jc w:val="both"/>
        <w:rPr>
          <w:rFonts w:ascii="Arial Narrow" w:hAnsi="Arial Narrow"/>
          <w:b/>
          <w:bCs/>
          <w:sz w:val="20"/>
          <w:szCs w:val="20"/>
        </w:rPr>
      </w:pPr>
      <w:r w:rsidRPr="00F05A8D">
        <w:rPr>
          <w:rFonts w:ascii="Arial Narrow" w:hAnsi="Arial Narrow"/>
          <w:b/>
          <w:bCs/>
          <w:sz w:val="20"/>
          <w:szCs w:val="20"/>
        </w:rPr>
        <w:t xml:space="preserve">Πόσο επηρεάστηκε ο τζίρος της επιχείρησης από το κλείσιμο των τραπεζών και τα </w:t>
      </w:r>
      <w:proofErr w:type="spellStart"/>
      <w:r w:rsidRPr="00F05A8D">
        <w:rPr>
          <w:rFonts w:ascii="Arial Narrow" w:hAnsi="Arial Narrow"/>
          <w:b/>
          <w:bCs/>
          <w:sz w:val="20"/>
          <w:szCs w:val="20"/>
        </w:rPr>
        <w:t>capital</w:t>
      </w:r>
      <w:proofErr w:type="spellEnd"/>
      <w:r w:rsidRPr="00F05A8D">
        <w:rPr>
          <w:rFonts w:ascii="Arial Narrow" w:hAnsi="Arial Narrow"/>
          <w:b/>
          <w:bCs/>
          <w:sz w:val="20"/>
          <w:szCs w:val="20"/>
        </w:rPr>
        <w:t xml:space="preserve"> </w:t>
      </w:r>
      <w:proofErr w:type="spellStart"/>
      <w:r w:rsidRPr="00F05A8D">
        <w:rPr>
          <w:rFonts w:ascii="Arial Narrow" w:hAnsi="Arial Narrow"/>
          <w:b/>
          <w:bCs/>
          <w:sz w:val="20"/>
          <w:szCs w:val="20"/>
        </w:rPr>
        <w:t>controls</w:t>
      </w:r>
      <w:proofErr w:type="spellEnd"/>
      <w:r w:rsidRPr="00F05A8D">
        <w:rPr>
          <w:rFonts w:ascii="Arial Narrow" w:hAnsi="Arial Narrow"/>
          <w:b/>
          <w:bCs/>
          <w:sz w:val="20"/>
          <w:szCs w:val="20"/>
        </w:rPr>
        <w:t>;</w:t>
      </w:r>
    </w:p>
    <w:p w:rsidR="0059229F" w:rsidRDefault="00F05A8D" w:rsidP="0059229F">
      <w:pPr>
        <w:jc w:val="both"/>
        <w:rPr>
          <w:rFonts w:ascii="Arial Narrow" w:hAnsi="Arial Narrow"/>
          <w:b/>
          <w:u w:val="single"/>
        </w:rPr>
      </w:pPr>
      <w:r>
        <w:rPr>
          <w:rFonts w:ascii="Arial Narrow" w:hAnsi="Arial Narrow"/>
          <w:b/>
          <w:noProof/>
          <w:u w:val="single"/>
        </w:rPr>
        <w:drawing>
          <wp:anchor distT="0" distB="0" distL="114300" distR="114300" simplePos="0" relativeHeight="251689472" behindDoc="0" locked="0" layoutInCell="1" allowOverlap="1">
            <wp:simplePos x="0" y="0"/>
            <wp:positionH relativeFrom="column">
              <wp:posOffset>38100</wp:posOffset>
            </wp:positionH>
            <wp:positionV relativeFrom="paragraph">
              <wp:posOffset>94614</wp:posOffset>
            </wp:positionV>
            <wp:extent cx="5638800" cy="2466975"/>
            <wp:effectExtent l="0" t="0" r="0" b="0"/>
            <wp:wrapNone/>
            <wp:docPr id="5" name="Γράφημα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F05A8D" w:rsidRDefault="00F05A8D" w:rsidP="0059229F">
      <w:pPr>
        <w:jc w:val="both"/>
        <w:rPr>
          <w:rFonts w:ascii="Arial Narrow" w:hAnsi="Arial Narrow"/>
          <w:b/>
          <w:u w:val="single"/>
        </w:rPr>
      </w:pPr>
    </w:p>
    <w:p w:rsidR="00F05A8D" w:rsidRDefault="00F05A8D" w:rsidP="0059229F">
      <w:pPr>
        <w:jc w:val="both"/>
        <w:rPr>
          <w:rFonts w:ascii="Arial Narrow" w:hAnsi="Arial Narrow"/>
          <w:b/>
          <w:u w:val="single"/>
        </w:rPr>
      </w:pPr>
    </w:p>
    <w:p w:rsidR="00F05A8D" w:rsidRDefault="00F05A8D" w:rsidP="0059229F">
      <w:pPr>
        <w:jc w:val="both"/>
        <w:rPr>
          <w:rFonts w:ascii="Arial Narrow" w:hAnsi="Arial Narrow"/>
          <w:b/>
          <w:u w:val="single"/>
        </w:rPr>
      </w:pPr>
    </w:p>
    <w:p w:rsidR="00F05A8D" w:rsidRDefault="00F05A8D" w:rsidP="0059229F">
      <w:pPr>
        <w:jc w:val="both"/>
        <w:rPr>
          <w:rFonts w:ascii="Arial Narrow" w:hAnsi="Arial Narrow"/>
          <w:b/>
          <w:u w:val="single"/>
        </w:rPr>
      </w:pPr>
    </w:p>
    <w:p w:rsidR="0059229F" w:rsidRDefault="0059229F" w:rsidP="0059229F">
      <w:pPr>
        <w:jc w:val="both"/>
        <w:rPr>
          <w:rFonts w:ascii="Arial Narrow" w:hAnsi="Arial Narrow"/>
          <w:b/>
          <w:u w:val="single"/>
        </w:rPr>
      </w:pPr>
    </w:p>
    <w:p w:rsidR="0064755D" w:rsidRPr="0059229F" w:rsidRDefault="0064755D" w:rsidP="0059229F">
      <w:pPr>
        <w:jc w:val="both"/>
        <w:rPr>
          <w:rFonts w:ascii="Arial Narrow" w:hAnsi="Arial Narrow"/>
          <w:b/>
          <w:u w:val="single"/>
        </w:rPr>
      </w:pPr>
    </w:p>
    <w:p w:rsidR="006E7A6C" w:rsidRDefault="002C3A9B" w:rsidP="00AB177D">
      <w:pPr>
        <w:numPr>
          <w:ilvl w:val="0"/>
          <w:numId w:val="1"/>
        </w:numPr>
        <w:tabs>
          <w:tab w:val="clear" w:pos="1080"/>
          <w:tab w:val="num" w:pos="360"/>
        </w:tabs>
        <w:ind w:left="360"/>
        <w:jc w:val="both"/>
        <w:rPr>
          <w:rFonts w:ascii="Arial Narrow" w:hAnsi="Arial Narrow"/>
          <w:b/>
          <w:u w:val="single"/>
        </w:rPr>
      </w:pPr>
      <w:r>
        <w:rPr>
          <w:rFonts w:ascii="Arial Narrow" w:hAnsi="Arial Narrow"/>
          <w:b/>
          <w:u w:val="single"/>
        </w:rPr>
        <w:t>ΠΟΛΙΤΙΚΗ ΚΑΤΑΣΤΑΣΗ</w:t>
      </w:r>
    </w:p>
    <w:p w:rsidR="00465F3B" w:rsidRDefault="00465F3B" w:rsidP="00465F3B">
      <w:pPr>
        <w:jc w:val="both"/>
        <w:rPr>
          <w:rFonts w:ascii="Arial Narrow" w:hAnsi="Arial Narrow"/>
          <w:b/>
          <w:u w:val="single"/>
        </w:rPr>
      </w:pPr>
    </w:p>
    <w:p w:rsidR="0064755D" w:rsidRDefault="00465F3B" w:rsidP="0064755D">
      <w:pPr>
        <w:pStyle w:val="aa"/>
        <w:numPr>
          <w:ilvl w:val="0"/>
          <w:numId w:val="24"/>
        </w:numPr>
        <w:ind w:left="426" w:hanging="426"/>
        <w:jc w:val="both"/>
        <w:rPr>
          <w:rFonts w:ascii="Arial Narrow" w:hAnsi="Arial Narrow"/>
        </w:rPr>
      </w:pPr>
      <w:r w:rsidRPr="00CB72AC">
        <w:rPr>
          <w:rFonts w:ascii="Arial Narrow" w:hAnsi="Arial Narrow"/>
        </w:rPr>
        <w:t>Αδιαπραγμάτευτη φαίνεται να είναι η θέση της χώρας στο σκληρό νόμισμα, παρά τα αρνητικά στοιχεία που επιφέρει η νέα δυσμενής συμφωνία για τη χώρα. Η συντριπτική πλειοψηφία των ερωτώμενων</w:t>
      </w:r>
      <w:r w:rsidR="00F51C4C">
        <w:rPr>
          <w:rFonts w:ascii="Arial Narrow" w:hAnsi="Arial Narrow"/>
        </w:rPr>
        <w:t xml:space="preserve"> (γράφημα 10</w:t>
      </w:r>
      <w:r w:rsidR="00CD4D87" w:rsidRPr="00CB72AC">
        <w:rPr>
          <w:rFonts w:ascii="Arial Narrow" w:hAnsi="Arial Narrow"/>
        </w:rPr>
        <w:t>)</w:t>
      </w:r>
      <w:r w:rsidRPr="00CB72AC">
        <w:rPr>
          <w:rFonts w:ascii="Arial Narrow" w:hAnsi="Arial Narrow"/>
        </w:rPr>
        <w:t xml:space="preserve"> θεωρεί ότι η χώρα πρέπει να παραμείνει στο ευρώ (71,7%).</w:t>
      </w:r>
    </w:p>
    <w:p w:rsidR="003F46F5" w:rsidRPr="0064755D" w:rsidRDefault="00465F3B" w:rsidP="0064755D">
      <w:pPr>
        <w:pStyle w:val="aa"/>
        <w:numPr>
          <w:ilvl w:val="0"/>
          <w:numId w:val="24"/>
        </w:numPr>
        <w:ind w:left="426" w:hanging="426"/>
        <w:jc w:val="both"/>
        <w:rPr>
          <w:rFonts w:ascii="Arial Narrow" w:hAnsi="Arial Narrow"/>
        </w:rPr>
      </w:pPr>
      <w:r w:rsidRPr="0064755D">
        <w:rPr>
          <w:rFonts w:ascii="Arial Narrow" w:hAnsi="Arial Narrow"/>
        </w:rPr>
        <w:t xml:space="preserve">Αρκετά επιφυλακτικός και διχασμένος εμφανίζεται ο επιχειρηματικός κόσμος από τις πολιτικές διεργασίες και τη νέα εκλογική μάχη, ο νικητής της οποίας θα κληθεί να διαχειριστεί το τρίτο μνημόνιο. Οι προοπτικές δημιουργίας μιας νέας κυβέρνησης δοκιμάζει τα αντανακλαστικά των μικρών επιχειρήσεων. </w:t>
      </w:r>
      <w:r w:rsidR="003F46F5" w:rsidRPr="0064755D">
        <w:rPr>
          <w:rFonts w:ascii="Arial Narrow" w:hAnsi="Arial Narrow"/>
        </w:rPr>
        <w:t>Σχετικά με την πολιτική εκπροσώπηση, πάνω από 1 στις 2 (56,5%) επιχειρήσεις θεωρούν ότι δεν εκφράζει τα συμφέροντά τους κανένας υφιστάμενος πολιτικός σχηματισμός</w:t>
      </w:r>
      <w:r w:rsidR="00DC79DB" w:rsidRPr="0064755D">
        <w:rPr>
          <w:rFonts w:ascii="Arial Narrow" w:hAnsi="Arial Narrow"/>
        </w:rPr>
        <w:t xml:space="preserve"> (γράφημα 11)</w:t>
      </w:r>
      <w:r w:rsidR="003F46F5" w:rsidRPr="0064755D">
        <w:rPr>
          <w:rFonts w:ascii="Arial Narrow" w:hAnsi="Arial Narrow"/>
        </w:rPr>
        <w:t xml:space="preserve">. </w:t>
      </w:r>
    </w:p>
    <w:p w:rsidR="00DC79DB" w:rsidRDefault="00DC79DB" w:rsidP="00DD1914">
      <w:pPr>
        <w:jc w:val="both"/>
        <w:rPr>
          <w:rFonts w:ascii="Arial Narrow" w:hAnsi="Arial Narrow"/>
          <w:b/>
          <w:bCs/>
          <w:sz w:val="20"/>
          <w:szCs w:val="20"/>
          <w:highlight w:val="yellow"/>
          <w:u w:val="single"/>
        </w:rPr>
      </w:pPr>
    </w:p>
    <w:p w:rsidR="00DD1914" w:rsidRDefault="00DD1914" w:rsidP="00DD1914">
      <w:pPr>
        <w:jc w:val="both"/>
        <w:rPr>
          <w:rFonts w:ascii="Arial Narrow" w:hAnsi="Arial Narrow"/>
          <w:b/>
          <w:bCs/>
          <w:sz w:val="20"/>
          <w:szCs w:val="20"/>
          <w:highlight w:val="yellow"/>
          <w:u w:val="single"/>
        </w:rPr>
      </w:pPr>
    </w:p>
    <w:p w:rsidR="00DD1914" w:rsidRDefault="00DD1914" w:rsidP="00DD1914">
      <w:pPr>
        <w:jc w:val="both"/>
        <w:rPr>
          <w:rFonts w:ascii="Arial Narrow" w:hAnsi="Arial Narrow"/>
          <w:b/>
          <w:bCs/>
          <w:sz w:val="20"/>
          <w:szCs w:val="20"/>
          <w:highlight w:val="yellow"/>
          <w:u w:val="single"/>
        </w:rPr>
      </w:pPr>
    </w:p>
    <w:p w:rsidR="00DD1914" w:rsidRDefault="00DD1914" w:rsidP="00DD1914">
      <w:pPr>
        <w:jc w:val="both"/>
        <w:rPr>
          <w:rFonts w:ascii="Arial Narrow" w:hAnsi="Arial Narrow"/>
          <w:b/>
          <w:bCs/>
          <w:sz w:val="20"/>
          <w:szCs w:val="20"/>
          <w:highlight w:val="yellow"/>
          <w:u w:val="single"/>
        </w:rPr>
      </w:pPr>
    </w:p>
    <w:p w:rsidR="00DD1914" w:rsidRDefault="00DD1914" w:rsidP="00DD1914">
      <w:pPr>
        <w:jc w:val="both"/>
        <w:rPr>
          <w:rFonts w:ascii="Arial Narrow" w:hAnsi="Arial Narrow"/>
          <w:b/>
          <w:bCs/>
          <w:sz w:val="20"/>
          <w:szCs w:val="20"/>
          <w:highlight w:val="yellow"/>
          <w:u w:val="single"/>
        </w:rPr>
      </w:pPr>
    </w:p>
    <w:p w:rsidR="0064755D" w:rsidRPr="00DD1914" w:rsidRDefault="0064755D" w:rsidP="00DD1914">
      <w:pPr>
        <w:jc w:val="both"/>
        <w:rPr>
          <w:rFonts w:ascii="Arial Narrow" w:hAnsi="Arial Narrow"/>
          <w:b/>
          <w:bCs/>
          <w:sz w:val="20"/>
          <w:szCs w:val="20"/>
          <w:highlight w:val="yellow"/>
          <w:u w:val="single"/>
        </w:rPr>
      </w:pPr>
    </w:p>
    <w:p w:rsidR="00465F3B" w:rsidRPr="0064755D" w:rsidRDefault="00CD4D87" w:rsidP="00465F3B">
      <w:pPr>
        <w:rPr>
          <w:rFonts w:ascii="Arial Narrow" w:hAnsi="Arial Narrow"/>
          <w:b/>
          <w:bCs/>
          <w:sz w:val="20"/>
          <w:szCs w:val="20"/>
          <w:u w:val="single"/>
        </w:rPr>
      </w:pPr>
      <w:r w:rsidRPr="0064755D">
        <w:rPr>
          <w:rFonts w:ascii="Arial Narrow" w:hAnsi="Arial Narrow"/>
          <w:b/>
          <w:bCs/>
          <w:sz w:val="20"/>
          <w:szCs w:val="20"/>
          <w:u w:val="single"/>
        </w:rPr>
        <w:lastRenderedPageBreak/>
        <w:t>ΓΡΑΦΗ</w:t>
      </w:r>
      <w:r w:rsidR="0059229F" w:rsidRPr="0064755D">
        <w:rPr>
          <w:rFonts w:ascii="Arial Narrow" w:hAnsi="Arial Narrow"/>
          <w:b/>
          <w:bCs/>
          <w:sz w:val="20"/>
          <w:szCs w:val="20"/>
          <w:u w:val="single"/>
        </w:rPr>
        <w:t>ΜΑ 10</w:t>
      </w:r>
      <w:r w:rsidR="00465F3B" w:rsidRPr="0064755D">
        <w:rPr>
          <w:rFonts w:ascii="Arial Narrow" w:hAnsi="Arial Narrow"/>
          <w:b/>
          <w:bCs/>
          <w:sz w:val="20"/>
          <w:szCs w:val="20"/>
          <w:u w:val="single"/>
        </w:rPr>
        <w:t xml:space="preserve">- </w:t>
      </w:r>
      <w:r w:rsidRPr="0064755D">
        <w:rPr>
          <w:rFonts w:ascii="Arial Narrow" w:hAnsi="Arial Narrow"/>
          <w:b/>
          <w:bCs/>
          <w:sz w:val="20"/>
          <w:szCs w:val="20"/>
          <w:u w:val="single"/>
        </w:rPr>
        <w:t>ΕΥΡΩ</w:t>
      </w:r>
    </w:p>
    <w:p w:rsidR="00465F3B" w:rsidRDefault="00465F3B" w:rsidP="00465F3B">
      <w:pPr>
        <w:jc w:val="both"/>
        <w:rPr>
          <w:rFonts w:ascii="Arial Narrow" w:hAnsi="Arial Narrow"/>
          <w:b/>
          <w:bCs/>
          <w:sz w:val="20"/>
          <w:szCs w:val="20"/>
        </w:rPr>
      </w:pPr>
      <w:r w:rsidRPr="0064755D">
        <w:rPr>
          <w:rFonts w:ascii="Arial Narrow" w:hAnsi="Arial Narrow"/>
          <w:b/>
          <w:bCs/>
          <w:sz w:val="20"/>
          <w:szCs w:val="20"/>
        </w:rPr>
        <w:t>Είστε υπέρ ή κατά της παραμονής στο ευρώ;</w:t>
      </w:r>
    </w:p>
    <w:p w:rsidR="00385287" w:rsidRDefault="00385287" w:rsidP="00465F3B">
      <w:pPr>
        <w:jc w:val="both"/>
        <w:rPr>
          <w:rFonts w:ascii="Arial Narrow" w:hAnsi="Arial Narrow"/>
          <w:b/>
          <w:bCs/>
          <w:sz w:val="20"/>
          <w:szCs w:val="20"/>
        </w:rPr>
      </w:pPr>
    </w:p>
    <w:p w:rsidR="00385287" w:rsidRDefault="00385287" w:rsidP="00465F3B">
      <w:pPr>
        <w:jc w:val="both"/>
        <w:rPr>
          <w:rFonts w:ascii="Arial Narrow" w:hAnsi="Arial Narrow"/>
          <w:b/>
          <w:bCs/>
          <w:sz w:val="20"/>
          <w:szCs w:val="20"/>
        </w:rPr>
      </w:pPr>
    </w:p>
    <w:p w:rsidR="00385287" w:rsidRDefault="00DD1914" w:rsidP="00465F3B">
      <w:pPr>
        <w:jc w:val="both"/>
        <w:rPr>
          <w:rFonts w:ascii="Arial Narrow" w:hAnsi="Arial Narrow"/>
          <w:b/>
          <w:bCs/>
          <w:sz w:val="20"/>
          <w:szCs w:val="20"/>
        </w:rPr>
      </w:pPr>
      <w:r>
        <w:rPr>
          <w:rFonts w:ascii="Arial Narrow" w:hAnsi="Arial Narrow"/>
          <w:b/>
          <w:noProof/>
          <w:color w:val="FF0000"/>
          <w:u w:val="single"/>
        </w:rPr>
        <w:drawing>
          <wp:anchor distT="0" distB="0" distL="114300" distR="114300" simplePos="0" relativeHeight="251688448" behindDoc="0" locked="0" layoutInCell="1" allowOverlap="1">
            <wp:simplePos x="0" y="0"/>
            <wp:positionH relativeFrom="column">
              <wp:posOffset>85725</wp:posOffset>
            </wp:positionH>
            <wp:positionV relativeFrom="paragraph">
              <wp:posOffset>-434975</wp:posOffset>
            </wp:positionV>
            <wp:extent cx="4410710" cy="2457450"/>
            <wp:effectExtent l="0" t="0" r="0" b="0"/>
            <wp:wrapNone/>
            <wp:docPr id="6" name="Αντικείμενο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85287" w:rsidRDefault="00385287" w:rsidP="00465F3B">
      <w:pPr>
        <w:jc w:val="both"/>
        <w:rPr>
          <w:rFonts w:ascii="Arial Narrow" w:hAnsi="Arial Narrow"/>
          <w:b/>
          <w:bCs/>
          <w:sz w:val="20"/>
          <w:szCs w:val="20"/>
        </w:rPr>
      </w:pPr>
    </w:p>
    <w:p w:rsidR="00385287" w:rsidRPr="002C3A9B" w:rsidRDefault="00385287" w:rsidP="00465F3B">
      <w:pPr>
        <w:jc w:val="both"/>
        <w:rPr>
          <w:rFonts w:ascii="Arial Narrow" w:hAnsi="Arial Narrow"/>
          <w:b/>
          <w:u w:val="single"/>
        </w:rPr>
      </w:pPr>
    </w:p>
    <w:p w:rsidR="00465F3B" w:rsidRDefault="00465F3B" w:rsidP="00230EB6">
      <w:pPr>
        <w:jc w:val="both"/>
        <w:rPr>
          <w:rFonts w:ascii="Arial Narrow" w:hAnsi="Arial Narrow"/>
          <w:b/>
          <w:color w:val="FF0000"/>
          <w:u w:val="single"/>
        </w:rPr>
      </w:pPr>
    </w:p>
    <w:p w:rsidR="00465F3B" w:rsidRDefault="00465F3B" w:rsidP="00512E98">
      <w:pPr>
        <w:ind w:left="360"/>
        <w:jc w:val="both"/>
        <w:rPr>
          <w:rFonts w:ascii="Arial Narrow" w:hAnsi="Arial Narrow"/>
          <w:b/>
          <w:u w:val="single"/>
        </w:rPr>
      </w:pPr>
    </w:p>
    <w:p w:rsidR="00465F3B" w:rsidRDefault="00465F3B" w:rsidP="000F08C1">
      <w:pPr>
        <w:jc w:val="both"/>
        <w:rPr>
          <w:rFonts w:ascii="Arial Narrow" w:hAnsi="Arial Narrow"/>
          <w:b/>
          <w:u w:val="single"/>
        </w:rPr>
      </w:pPr>
    </w:p>
    <w:p w:rsidR="00465F3B" w:rsidRDefault="00465F3B" w:rsidP="00512E98">
      <w:pPr>
        <w:ind w:left="360"/>
        <w:jc w:val="both"/>
        <w:rPr>
          <w:rFonts w:ascii="Arial Narrow" w:hAnsi="Arial Narrow"/>
          <w:b/>
          <w:u w:val="single"/>
        </w:rPr>
      </w:pPr>
    </w:p>
    <w:p w:rsidR="00385287" w:rsidRDefault="00385287" w:rsidP="00512E98">
      <w:pPr>
        <w:ind w:left="360"/>
        <w:jc w:val="both"/>
        <w:rPr>
          <w:rFonts w:ascii="Arial Narrow" w:hAnsi="Arial Narrow"/>
          <w:b/>
          <w:u w:val="single"/>
        </w:rPr>
      </w:pPr>
    </w:p>
    <w:p w:rsidR="00465F3B" w:rsidRPr="00AE61C4" w:rsidRDefault="00465F3B" w:rsidP="002C3A9B">
      <w:pPr>
        <w:jc w:val="both"/>
        <w:rPr>
          <w:rFonts w:ascii="Arial Narrow" w:hAnsi="Arial Narrow"/>
          <w:b/>
          <w:color w:val="FF0000"/>
          <w:u w:val="single"/>
        </w:rPr>
      </w:pPr>
    </w:p>
    <w:p w:rsidR="00102644" w:rsidRPr="00512E98" w:rsidRDefault="00102644" w:rsidP="00102644">
      <w:pPr>
        <w:rPr>
          <w:rFonts w:ascii="Arial Narrow" w:hAnsi="Arial Narrow"/>
          <w:b/>
          <w:bCs/>
          <w:sz w:val="20"/>
          <w:szCs w:val="20"/>
          <w:u w:val="single"/>
        </w:rPr>
      </w:pPr>
    </w:p>
    <w:p w:rsidR="00DC79DB" w:rsidRDefault="00DC79DB" w:rsidP="00102644">
      <w:pPr>
        <w:rPr>
          <w:rFonts w:ascii="Arial Narrow" w:hAnsi="Arial Narrow"/>
          <w:b/>
          <w:bCs/>
          <w:sz w:val="20"/>
          <w:szCs w:val="20"/>
          <w:u w:val="single"/>
        </w:rPr>
      </w:pPr>
    </w:p>
    <w:p w:rsidR="00DD1914" w:rsidRDefault="00DD1914" w:rsidP="00102644">
      <w:pPr>
        <w:rPr>
          <w:rFonts w:ascii="Arial Narrow" w:hAnsi="Arial Narrow"/>
          <w:b/>
          <w:bCs/>
          <w:sz w:val="20"/>
          <w:szCs w:val="20"/>
          <w:u w:val="single"/>
        </w:rPr>
      </w:pPr>
    </w:p>
    <w:p w:rsidR="00102644" w:rsidRDefault="00CD4D87" w:rsidP="00102644">
      <w:pPr>
        <w:rPr>
          <w:rFonts w:ascii="Arial Narrow" w:hAnsi="Arial Narrow"/>
          <w:b/>
          <w:bCs/>
          <w:sz w:val="20"/>
          <w:szCs w:val="20"/>
          <w:u w:val="single"/>
        </w:rPr>
      </w:pPr>
      <w:r>
        <w:rPr>
          <w:rFonts w:ascii="Arial Narrow" w:hAnsi="Arial Narrow"/>
          <w:b/>
          <w:bCs/>
          <w:sz w:val="20"/>
          <w:szCs w:val="20"/>
          <w:u w:val="single"/>
        </w:rPr>
        <w:t>ΓΡΑΦΗ</w:t>
      </w:r>
      <w:r w:rsidR="00102644">
        <w:rPr>
          <w:rFonts w:ascii="Arial Narrow" w:hAnsi="Arial Narrow"/>
          <w:b/>
          <w:bCs/>
          <w:sz w:val="20"/>
          <w:szCs w:val="20"/>
          <w:u w:val="single"/>
        </w:rPr>
        <w:t xml:space="preserve">ΜΑ </w:t>
      </w:r>
      <w:r w:rsidR="003F46F5">
        <w:rPr>
          <w:rFonts w:ascii="Arial Narrow" w:hAnsi="Arial Narrow"/>
          <w:b/>
          <w:bCs/>
          <w:sz w:val="20"/>
          <w:szCs w:val="20"/>
          <w:u w:val="single"/>
        </w:rPr>
        <w:t>11</w:t>
      </w:r>
      <w:r w:rsidR="00102644" w:rsidRPr="00512E98">
        <w:rPr>
          <w:rFonts w:ascii="Arial Narrow" w:hAnsi="Arial Narrow"/>
          <w:b/>
          <w:bCs/>
          <w:sz w:val="20"/>
          <w:szCs w:val="20"/>
          <w:u w:val="single"/>
        </w:rPr>
        <w:t xml:space="preserve">- </w:t>
      </w:r>
      <w:r w:rsidR="00102644">
        <w:rPr>
          <w:rFonts w:ascii="Arial Narrow" w:hAnsi="Arial Narrow"/>
          <w:b/>
          <w:bCs/>
          <w:sz w:val="20"/>
          <w:szCs w:val="20"/>
          <w:u w:val="single"/>
        </w:rPr>
        <w:t>ΠΟ</w:t>
      </w:r>
      <w:r w:rsidR="005B6C38">
        <w:rPr>
          <w:rFonts w:ascii="Arial Narrow" w:hAnsi="Arial Narrow"/>
          <w:b/>
          <w:bCs/>
          <w:sz w:val="20"/>
          <w:szCs w:val="20"/>
          <w:u w:val="single"/>
        </w:rPr>
        <w:t>ΛΙΤΙΚΗ ΕΚΠΡΟΣΩΠΗΣΗ- Ιούλιος 2015</w:t>
      </w:r>
    </w:p>
    <w:p w:rsidR="00102644" w:rsidRDefault="00102644" w:rsidP="00102644">
      <w:pPr>
        <w:jc w:val="both"/>
        <w:rPr>
          <w:rFonts w:ascii="Arial Narrow" w:hAnsi="Arial Narrow"/>
          <w:color w:val="FF0000"/>
        </w:rPr>
      </w:pPr>
      <w:r w:rsidRPr="000366FD">
        <w:rPr>
          <w:rFonts w:ascii="Arial Narrow" w:hAnsi="Arial Narrow"/>
          <w:b/>
          <w:bCs/>
          <w:sz w:val="20"/>
          <w:szCs w:val="20"/>
        </w:rPr>
        <w:t>Ποιο κόμμα πιστεύετε ότι εκφράζει καλύτερα τα συμφέροντά σας;</w:t>
      </w:r>
    </w:p>
    <w:p w:rsidR="00102644" w:rsidRDefault="00102644" w:rsidP="00102644">
      <w:pPr>
        <w:jc w:val="both"/>
        <w:rPr>
          <w:rFonts w:ascii="Arial Narrow" w:hAnsi="Arial Narrow"/>
          <w:color w:val="FF0000"/>
        </w:rPr>
      </w:pPr>
    </w:p>
    <w:p w:rsidR="00102644" w:rsidRPr="00306781" w:rsidRDefault="00DC79DB" w:rsidP="00102644">
      <w:pPr>
        <w:jc w:val="both"/>
        <w:rPr>
          <w:rFonts w:ascii="Arial Narrow" w:hAnsi="Arial Narrow"/>
        </w:rPr>
      </w:pPr>
      <w:r>
        <w:rPr>
          <w:rFonts w:ascii="Arial Narrow" w:hAnsi="Arial Narrow" w:cs="Tahoma"/>
          <w:noProof/>
        </w:rPr>
        <w:drawing>
          <wp:anchor distT="0" distB="0" distL="114300" distR="114300" simplePos="0" relativeHeight="251683328" behindDoc="0" locked="0" layoutInCell="1" allowOverlap="1">
            <wp:simplePos x="0" y="0"/>
            <wp:positionH relativeFrom="column">
              <wp:posOffset>3533775</wp:posOffset>
            </wp:positionH>
            <wp:positionV relativeFrom="paragraph">
              <wp:posOffset>274956</wp:posOffset>
            </wp:positionV>
            <wp:extent cx="2905125" cy="2101402"/>
            <wp:effectExtent l="0" t="0" r="0" b="0"/>
            <wp:wrapNone/>
            <wp:docPr id="19"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ascii="Arial Narrow" w:hAnsi="Arial Narrow"/>
          <w:noProof/>
          <w:u w:val="single"/>
        </w:rPr>
        <w:drawing>
          <wp:anchor distT="0" distB="0" distL="114300" distR="114300" simplePos="0" relativeHeight="251684352" behindDoc="0" locked="0" layoutInCell="1" allowOverlap="1">
            <wp:simplePos x="0" y="0"/>
            <wp:positionH relativeFrom="column">
              <wp:posOffset>-96520</wp:posOffset>
            </wp:positionH>
            <wp:positionV relativeFrom="paragraph">
              <wp:posOffset>270510</wp:posOffset>
            </wp:positionV>
            <wp:extent cx="3625215" cy="2838450"/>
            <wp:effectExtent l="0" t="0" r="0" b="0"/>
            <wp:wrapNone/>
            <wp:docPr id="20" name="Γράφημα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102644">
        <w:rPr>
          <w:rFonts w:ascii="Arial Narrow" w:hAnsi="Arial Narrow"/>
        </w:rPr>
        <w:t>Ιούλιος 201</w:t>
      </w:r>
      <w:r>
        <w:rPr>
          <w:rFonts w:ascii="Arial Narrow" w:hAnsi="Arial Narrow"/>
        </w:rPr>
        <w:t>5</w:t>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sidRPr="00DD1914">
        <w:rPr>
          <w:rFonts w:ascii="Arial Narrow" w:hAnsi="Arial Narrow"/>
        </w:rPr>
        <w:t>Ιούλιος 201</w:t>
      </w:r>
      <w:r w:rsidRPr="00DD1914">
        <w:rPr>
          <w:rFonts w:ascii="Arial Narrow" w:hAnsi="Arial Narrow"/>
        </w:rPr>
        <w:t>4</w:t>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r w:rsidR="00102644">
        <w:rPr>
          <w:rFonts w:ascii="Arial Narrow" w:hAnsi="Arial Narrow"/>
        </w:rPr>
        <w:tab/>
      </w:r>
    </w:p>
    <w:p w:rsidR="00102644" w:rsidRDefault="00102644" w:rsidP="00102644">
      <w:pPr>
        <w:jc w:val="both"/>
        <w:rPr>
          <w:rFonts w:ascii="Arial Narrow" w:hAnsi="Arial Narrow"/>
          <w:color w:val="FF0000"/>
        </w:rPr>
      </w:pPr>
    </w:p>
    <w:p w:rsidR="00102644" w:rsidRDefault="00102644" w:rsidP="00CB0FA0">
      <w:pPr>
        <w:jc w:val="center"/>
        <w:rPr>
          <w:rFonts w:ascii="Arial Narrow" w:hAnsi="Arial Narrow"/>
          <w:u w:val="single"/>
        </w:rPr>
      </w:pPr>
    </w:p>
    <w:p w:rsidR="00102644" w:rsidRDefault="00102644" w:rsidP="00350FAB">
      <w:pPr>
        <w:rPr>
          <w:rFonts w:ascii="Arial Narrow" w:hAnsi="Arial Narrow"/>
          <w:u w:val="single"/>
        </w:rPr>
      </w:pPr>
    </w:p>
    <w:p w:rsidR="00102644" w:rsidRDefault="00102644" w:rsidP="00350FAB">
      <w:pPr>
        <w:rPr>
          <w:rFonts w:ascii="Arial Narrow" w:hAnsi="Arial Narrow"/>
          <w:u w:val="single"/>
        </w:rPr>
      </w:pPr>
    </w:p>
    <w:p w:rsidR="00102644" w:rsidRDefault="00102644" w:rsidP="00350FAB">
      <w:pPr>
        <w:rPr>
          <w:rFonts w:ascii="Arial Narrow" w:hAnsi="Arial Narrow"/>
          <w:u w:val="single"/>
        </w:rPr>
      </w:pPr>
    </w:p>
    <w:p w:rsidR="00102644" w:rsidRDefault="00102644" w:rsidP="00350FAB">
      <w:pPr>
        <w:rPr>
          <w:rFonts w:ascii="Arial Narrow" w:hAnsi="Arial Narrow"/>
          <w:u w:val="single"/>
        </w:rPr>
      </w:pPr>
    </w:p>
    <w:p w:rsidR="00102644" w:rsidRDefault="00102644" w:rsidP="00350FAB">
      <w:pPr>
        <w:rPr>
          <w:rFonts w:ascii="Arial Narrow" w:hAnsi="Arial Narrow"/>
          <w:u w:val="single"/>
        </w:rPr>
      </w:pPr>
    </w:p>
    <w:p w:rsidR="00102644" w:rsidRDefault="00102644" w:rsidP="00350FAB">
      <w:pPr>
        <w:rPr>
          <w:rFonts w:ascii="Arial Narrow" w:hAnsi="Arial Narrow"/>
          <w:u w:val="single"/>
        </w:rPr>
      </w:pPr>
    </w:p>
    <w:p w:rsidR="00102644" w:rsidRDefault="00102644" w:rsidP="00350FAB">
      <w:pPr>
        <w:rPr>
          <w:rFonts w:ascii="Arial Narrow" w:hAnsi="Arial Narrow"/>
          <w:u w:val="single"/>
        </w:rPr>
      </w:pPr>
    </w:p>
    <w:p w:rsidR="00385287" w:rsidRDefault="00385287" w:rsidP="00350FAB">
      <w:pPr>
        <w:rPr>
          <w:rFonts w:ascii="Arial Narrow" w:hAnsi="Arial Narrow"/>
          <w:u w:val="single"/>
        </w:rPr>
      </w:pPr>
    </w:p>
    <w:p w:rsidR="00385287" w:rsidRDefault="00385287" w:rsidP="00350FAB">
      <w:pPr>
        <w:rPr>
          <w:rFonts w:ascii="Arial Narrow" w:hAnsi="Arial Narrow"/>
          <w:u w:val="single"/>
        </w:rPr>
      </w:pPr>
    </w:p>
    <w:p w:rsidR="00385287" w:rsidRDefault="00385287" w:rsidP="00350FAB">
      <w:pPr>
        <w:rPr>
          <w:rFonts w:ascii="Arial Narrow" w:hAnsi="Arial Narrow"/>
          <w:u w:val="single"/>
        </w:rPr>
      </w:pPr>
    </w:p>
    <w:p w:rsidR="0059229F" w:rsidRDefault="0059229F">
      <w:pPr>
        <w:rPr>
          <w:rFonts w:ascii="Arial Narrow" w:hAnsi="Arial Narrow"/>
          <w:u w:val="single"/>
        </w:rPr>
      </w:pPr>
      <w:r>
        <w:rPr>
          <w:rFonts w:ascii="Arial Narrow" w:hAnsi="Arial Narrow"/>
          <w:u w:val="single"/>
        </w:rPr>
        <w:br w:type="page"/>
      </w:r>
    </w:p>
    <w:p w:rsidR="00B640C8" w:rsidRPr="00CD2E23" w:rsidRDefault="00B640C8" w:rsidP="00350FAB">
      <w:pPr>
        <w:rPr>
          <w:rFonts w:ascii="Arial Narrow" w:hAnsi="Arial Narrow" w:cs="Tahoma"/>
        </w:rPr>
      </w:pPr>
      <w:r w:rsidRPr="00EE01FE">
        <w:rPr>
          <w:rFonts w:ascii="Arial Narrow" w:hAnsi="Arial Narrow"/>
          <w:u w:val="single"/>
        </w:rPr>
        <w:lastRenderedPageBreak/>
        <w:t>ΠΑΡΑΡΤΗΜΑ: ΣΥΓΚΡΙΣΗ ΠΑΡΟΥΣΑΣ ΕΡΕΥΝΑΣ (</w:t>
      </w:r>
      <w:r w:rsidR="00F6557D">
        <w:rPr>
          <w:rFonts w:ascii="Arial Narrow" w:hAnsi="Arial Narrow"/>
          <w:u w:val="single"/>
        </w:rPr>
        <w:t>Αύγουστος</w:t>
      </w:r>
      <w:r w:rsidR="004B04BD">
        <w:rPr>
          <w:rFonts w:ascii="Arial Narrow" w:hAnsi="Arial Narrow"/>
          <w:u w:val="single"/>
        </w:rPr>
        <w:t xml:space="preserve"> 2015</w:t>
      </w:r>
      <w:r w:rsidRPr="00EE01FE">
        <w:rPr>
          <w:rFonts w:ascii="Arial Narrow" w:hAnsi="Arial Narrow"/>
          <w:u w:val="single"/>
        </w:rPr>
        <w:t>) ΜΕ ΠΡΟΗΓΟΥΜΕΝΕΣ ΕΡΕΥΝΕΣ</w:t>
      </w:r>
    </w:p>
    <w:p w:rsidR="00B640C8" w:rsidRDefault="00B640C8" w:rsidP="00E54F10">
      <w:pPr>
        <w:jc w:val="both"/>
        <w:rPr>
          <w:rFonts w:ascii="Arial Narrow" w:hAnsi="Arial Narrow"/>
          <w:b/>
          <w:sz w:val="20"/>
          <w:szCs w:val="20"/>
        </w:rPr>
      </w:pPr>
    </w:p>
    <w:p w:rsidR="00B640C8" w:rsidRPr="008F2928" w:rsidRDefault="00B640C8" w:rsidP="007E2E20">
      <w:pPr>
        <w:jc w:val="center"/>
        <w:rPr>
          <w:rFonts w:ascii="Arial Narrow" w:hAnsi="Arial Narrow"/>
          <w:b/>
          <w:sz w:val="20"/>
          <w:szCs w:val="20"/>
        </w:rPr>
      </w:pPr>
      <w:r w:rsidRPr="008F2928">
        <w:rPr>
          <w:rFonts w:ascii="Arial Narrow" w:hAnsi="Arial Narrow"/>
          <w:b/>
          <w:sz w:val="20"/>
          <w:szCs w:val="20"/>
        </w:rPr>
        <w:t>Τα παρακάτω νούμερα αναφέρονται σε ποσοστά επί του συνόλου των ερωτηθέντων επιχειρηματιών</w:t>
      </w:r>
    </w:p>
    <w:p w:rsidR="00B640C8" w:rsidRDefault="00B640C8" w:rsidP="00E54F10">
      <w:pPr>
        <w:jc w:val="center"/>
        <w:rPr>
          <w:rFonts w:ascii="Arial Narrow" w:hAnsi="Arial Narrow"/>
          <w:b/>
          <w:sz w:val="20"/>
          <w:szCs w:val="20"/>
          <w:u w:val="single"/>
        </w:rPr>
      </w:pPr>
    </w:p>
    <w:p w:rsidR="00562674" w:rsidRDefault="00B640C8" w:rsidP="00315382">
      <w:pPr>
        <w:jc w:val="center"/>
        <w:rPr>
          <w:rFonts w:ascii="Arial Narrow" w:hAnsi="Arial Narrow"/>
          <w:b/>
          <w:sz w:val="20"/>
          <w:szCs w:val="20"/>
          <w:u w:val="single"/>
        </w:rPr>
      </w:pPr>
      <w:r>
        <w:rPr>
          <w:rFonts w:ascii="Arial Narrow" w:hAnsi="Arial Narrow"/>
          <w:b/>
          <w:sz w:val="20"/>
          <w:szCs w:val="20"/>
          <w:u w:val="single"/>
        </w:rPr>
        <w:t>ΔΙΑΓΡΑΜΜΑ</w:t>
      </w:r>
    </w:p>
    <w:p w:rsidR="005B6C38" w:rsidRPr="00315382" w:rsidRDefault="005B6C38" w:rsidP="00315382">
      <w:pPr>
        <w:jc w:val="center"/>
        <w:rPr>
          <w:rFonts w:ascii="Arial Narrow" w:hAnsi="Arial Narrow"/>
          <w:b/>
          <w:sz w:val="20"/>
          <w:szCs w:val="20"/>
          <w:u w:val="single"/>
        </w:rPr>
      </w:pPr>
      <w:r>
        <w:rPr>
          <w:rFonts w:ascii="Arial Narrow" w:hAnsi="Arial Narrow"/>
          <w:b/>
          <w:bCs/>
          <w:noProof/>
          <w:sz w:val="20"/>
          <w:szCs w:val="20"/>
          <w:u w:val="single"/>
        </w:rPr>
        <w:drawing>
          <wp:inline distT="0" distB="0" distL="0" distR="0">
            <wp:extent cx="6800850" cy="3503104"/>
            <wp:effectExtent l="0" t="0" r="0" b="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2493" cy="3509101"/>
                    </a:xfrm>
                    <a:prstGeom prst="rect">
                      <a:avLst/>
                    </a:prstGeom>
                    <a:noFill/>
                  </pic:spPr>
                </pic:pic>
              </a:graphicData>
            </a:graphic>
          </wp:inline>
        </w:drawing>
      </w:r>
    </w:p>
    <w:p w:rsidR="000366FD" w:rsidRDefault="005B6C38" w:rsidP="00E54F10">
      <w:pPr>
        <w:jc w:val="both"/>
        <w:rPr>
          <w:rFonts w:ascii="Arial Narrow" w:hAnsi="Arial Narrow"/>
          <w:b/>
          <w:bCs/>
          <w:sz w:val="20"/>
          <w:szCs w:val="20"/>
          <w:u w:val="single"/>
        </w:rPr>
      </w:pPr>
      <w:r>
        <w:rPr>
          <w:rFonts w:ascii="Arial Narrow" w:hAnsi="Arial Narrow"/>
          <w:b/>
          <w:bCs/>
          <w:noProof/>
          <w:sz w:val="20"/>
          <w:szCs w:val="20"/>
          <w:u w:val="single"/>
        </w:rPr>
        <w:drawing>
          <wp:inline distT="0" distB="0" distL="0" distR="0">
            <wp:extent cx="6811039" cy="3417434"/>
            <wp:effectExtent l="0" t="0" r="0" b="0"/>
            <wp:docPr id="187" name="Εικόνα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4063" cy="3418951"/>
                    </a:xfrm>
                    <a:prstGeom prst="rect">
                      <a:avLst/>
                    </a:prstGeom>
                    <a:noFill/>
                  </pic:spPr>
                </pic:pic>
              </a:graphicData>
            </a:graphic>
          </wp:inline>
        </w:drawing>
      </w:r>
    </w:p>
    <w:p w:rsidR="000366FD" w:rsidRDefault="000366FD" w:rsidP="00E54F10">
      <w:pPr>
        <w:jc w:val="both"/>
        <w:rPr>
          <w:rFonts w:ascii="Arial Narrow" w:hAnsi="Arial Narrow"/>
          <w:b/>
          <w:bCs/>
          <w:sz w:val="20"/>
          <w:szCs w:val="20"/>
          <w:u w:val="single"/>
        </w:rPr>
      </w:pPr>
    </w:p>
    <w:p w:rsidR="000366FD" w:rsidRDefault="000366FD" w:rsidP="00E54F10">
      <w:pPr>
        <w:jc w:val="both"/>
        <w:rPr>
          <w:rFonts w:ascii="Arial Narrow" w:hAnsi="Arial Narrow"/>
          <w:b/>
          <w:bCs/>
          <w:sz w:val="20"/>
          <w:szCs w:val="20"/>
          <w:u w:val="single"/>
        </w:rPr>
      </w:pPr>
    </w:p>
    <w:p w:rsidR="005B6C38" w:rsidRDefault="005B6C38" w:rsidP="00E54F10">
      <w:pPr>
        <w:jc w:val="both"/>
        <w:rPr>
          <w:rFonts w:ascii="Arial Narrow" w:hAnsi="Arial Narrow"/>
          <w:b/>
          <w:bCs/>
          <w:sz w:val="20"/>
          <w:szCs w:val="20"/>
          <w:u w:val="single"/>
        </w:rPr>
      </w:pPr>
    </w:p>
    <w:p w:rsidR="005B6C38" w:rsidRDefault="005B6C38" w:rsidP="00E54F10">
      <w:pPr>
        <w:jc w:val="both"/>
        <w:rPr>
          <w:rFonts w:ascii="Arial Narrow" w:hAnsi="Arial Narrow"/>
          <w:b/>
          <w:bCs/>
          <w:sz w:val="20"/>
          <w:szCs w:val="20"/>
          <w:u w:val="single"/>
        </w:rPr>
      </w:pPr>
    </w:p>
    <w:p w:rsidR="00315382" w:rsidRDefault="00315382" w:rsidP="00E54F10">
      <w:pPr>
        <w:jc w:val="both"/>
        <w:rPr>
          <w:rFonts w:ascii="Arial Narrow" w:hAnsi="Arial Narrow"/>
          <w:b/>
          <w:bCs/>
          <w:sz w:val="20"/>
          <w:szCs w:val="20"/>
          <w:u w:val="single"/>
        </w:rPr>
      </w:pPr>
    </w:p>
    <w:p w:rsidR="00B640C8" w:rsidRDefault="00B640C8" w:rsidP="00E54F10">
      <w:pPr>
        <w:jc w:val="both"/>
        <w:rPr>
          <w:rFonts w:ascii="Arial Narrow" w:hAnsi="Arial Narrow"/>
          <w:b/>
          <w:bCs/>
          <w:sz w:val="20"/>
          <w:szCs w:val="20"/>
          <w:u w:val="single"/>
        </w:rPr>
      </w:pPr>
    </w:p>
    <w:p w:rsidR="00B640C8" w:rsidRPr="008F2928" w:rsidRDefault="00B640C8" w:rsidP="00E54F10">
      <w:pPr>
        <w:jc w:val="both"/>
        <w:rPr>
          <w:rFonts w:ascii="Arial Narrow" w:hAnsi="Arial Narrow"/>
          <w:b/>
          <w:bCs/>
          <w:sz w:val="20"/>
          <w:szCs w:val="20"/>
          <w:u w:val="single"/>
        </w:rPr>
      </w:pPr>
      <w:r w:rsidRPr="008F2928">
        <w:rPr>
          <w:rFonts w:ascii="Arial Narrow" w:hAnsi="Arial Narrow"/>
          <w:b/>
          <w:bCs/>
          <w:sz w:val="20"/>
          <w:szCs w:val="20"/>
          <w:u w:val="single"/>
        </w:rPr>
        <w:t>* Καταγεγραμμένη μείωση προηγούμενου εξαμήνου</w:t>
      </w:r>
    </w:p>
    <w:p w:rsidR="00DC79DB" w:rsidRDefault="00B640C8" w:rsidP="008A52EA">
      <w:pPr>
        <w:jc w:val="both"/>
        <w:rPr>
          <w:rFonts w:ascii="Arial Narrow" w:hAnsi="Arial Narrow"/>
          <w:b/>
          <w:bCs/>
          <w:sz w:val="20"/>
          <w:szCs w:val="20"/>
          <w:u w:val="single"/>
        </w:rPr>
      </w:pPr>
      <w:r w:rsidRPr="008F2928">
        <w:rPr>
          <w:rFonts w:ascii="Arial Narrow" w:hAnsi="Arial Narrow"/>
          <w:b/>
          <w:bCs/>
          <w:sz w:val="20"/>
          <w:szCs w:val="20"/>
          <w:u w:val="single"/>
        </w:rPr>
        <w:t>** Προβλεπόμενη μείωση για το επόμενο εξάμηνο</w:t>
      </w:r>
    </w:p>
    <w:p w:rsidR="00DC79DB" w:rsidRPr="00C7707C" w:rsidRDefault="00DC79DB" w:rsidP="00C7707C">
      <w:pPr>
        <w:rPr>
          <w:rFonts w:ascii="Arial Narrow" w:hAnsi="Arial Narrow"/>
          <w:b/>
          <w:bCs/>
          <w:sz w:val="20"/>
          <w:szCs w:val="20"/>
          <w:u w:val="single"/>
        </w:rPr>
      </w:pPr>
    </w:p>
    <w:sectPr w:rsidR="00DC79DB" w:rsidRPr="00C7707C" w:rsidSect="00227F1D">
      <w:footerReference w:type="even" r:id="rId26"/>
      <w:footerReference w:type="default" r:id="rId27"/>
      <w:pgSz w:w="11906" w:h="16838"/>
      <w:pgMar w:top="1079" w:right="926" w:bottom="1079" w:left="900" w:header="708" w:footer="93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DF" w:rsidRDefault="002E16DF">
      <w:r>
        <w:separator/>
      </w:r>
    </w:p>
  </w:endnote>
  <w:endnote w:type="continuationSeparator" w:id="0">
    <w:p w:rsidR="002E16DF" w:rsidRDefault="002E1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Baskerville">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CD" w:rsidRDefault="00D67221" w:rsidP="006C6D36">
    <w:pPr>
      <w:pStyle w:val="a5"/>
      <w:framePr w:wrap="around" w:vAnchor="text" w:hAnchor="margin" w:xAlign="right" w:y="1"/>
      <w:rPr>
        <w:rStyle w:val="a9"/>
      </w:rPr>
    </w:pPr>
    <w:r>
      <w:rPr>
        <w:rStyle w:val="a9"/>
      </w:rPr>
      <w:fldChar w:fldCharType="begin"/>
    </w:r>
    <w:r w:rsidR="000B48CD">
      <w:rPr>
        <w:rStyle w:val="a9"/>
      </w:rPr>
      <w:instrText xml:space="preserve">PAGE  </w:instrText>
    </w:r>
    <w:r>
      <w:rPr>
        <w:rStyle w:val="a9"/>
      </w:rPr>
      <w:fldChar w:fldCharType="end"/>
    </w:r>
  </w:p>
  <w:p w:rsidR="000B48CD" w:rsidRDefault="000B48CD" w:rsidP="000978F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CD" w:rsidRDefault="00D67221" w:rsidP="006C6D36">
    <w:pPr>
      <w:pStyle w:val="a5"/>
      <w:framePr w:wrap="around" w:vAnchor="text" w:hAnchor="margin" w:xAlign="right" w:y="1"/>
      <w:rPr>
        <w:rStyle w:val="a9"/>
      </w:rPr>
    </w:pPr>
    <w:r>
      <w:rPr>
        <w:rStyle w:val="a9"/>
      </w:rPr>
      <w:fldChar w:fldCharType="begin"/>
    </w:r>
    <w:r w:rsidR="000B48CD">
      <w:rPr>
        <w:rStyle w:val="a9"/>
      </w:rPr>
      <w:instrText xml:space="preserve">PAGE  </w:instrText>
    </w:r>
    <w:r>
      <w:rPr>
        <w:rStyle w:val="a9"/>
      </w:rPr>
      <w:fldChar w:fldCharType="separate"/>
    </w:r>
    <w:r w:rsidR="00A8432F">
      <w:rPr>
        <w:rStyle w:val="a9"/>
        <w:noProof/>
      </w:rPr>
      <w:t>2</w:t>
    </w:r>
    <w:r>
      <w:rPr>
        <w:rStyle w:val="a9"/>
      </w:rPr>
      <w:fldChar w:fldCharType="end"/>
    </w:r>
  </w:p>
  <w:p w:rsidR="000B48CD" w:rsidRDefault="000B48CD" w:rsidP="0084174B">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DF" w:rsidRDefault="002E16DF">
      <w:r>
        <w:separator/>
      </w:r>
    </w:p>
  </w:footnote>
  <w:footnote w:type="continuationSeparator" w:id="0">
    <w:p w:rsidR="002E16DF" w:rsidRDefault="002E1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E05"/>
    <w:multiLevelType w:val="hybridMultilevel"/>
    <w:tmpl w:val="6096B9CE"/>
    <w:lvl w:ilvl="0" w:tplc="78340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0B23A4"/>
    <w:multiLevelType w:val="hybridMultilevel"/>
    <w:tmpl w:val="27869F5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17A675A9"/>
    <w:multiLevelType w:val="hybridMultilevel"/>
    <w:tmpl w:val="34308790"/>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188D0316"/>
    <w:multiLevelType w:val="hybridMultilevel"/>
    <w:tmpl w:val="DF0206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301F86"/>
    <w:multiLevelType w:val="hybridMultilevel"/>
    <w:tmpl w:val="35B00D48"/>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
    <w:nsid w:val="288F3A07"/>
    <w:multiLevelType w:val="hybridMultilevel"/>
    <w:tmpl w:val="9774B9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7D6535"/>
    <w:multiLevelType w:val="hybridMultilevel"/>
    <w:tmpl w:val="9886FAA0"/>
    <w:lvl w:ilvl="0" w:tplc="78340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2C3216B"/>
    <w:multiLevelType w:val="hybridMultilevel"/>
    <w:tmpl w:val="7B561FF6"/>
    <w:lvl w:ilvl="0" w:tplc="0408000B">
      <w:start w:val="1"/>
      <w:numFmt w:val="bullet"/>
      <w:lvlText w:val=""/>
      <w:lvlJc w:val="left"/>
      <w:pPr>
        <w:tabs>
          <w:tab w:val="num" w:pos="360"/>
        </w:tabs>
        <w:ind w:left="360" w:hanging="360"/>
      </w:pPr>
      <w:rPr>
        <w:rFonts w:ascii="Wingdings" w:hAnsi="Wingdings"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36EF2663"/>
    <w:multiLevelType w:val="hybridMultilevel"/>
    <w:tmpl w:val="B53C6E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B211C5E"/>
    <w:multiLevelType w:val="hybridMultilevel"/>
    <w:tmpl w:val="F2506EAC"/>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0356B87"/>
    <w:multiLevelType w:val="hybridMultilevel"/>
    <w:tmpl w:val="F6EA26E0"/>
    <w:lvl w:ilvl="0" w:tplc="0408001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1">
    <w:nsid w:val="40566F50"/>
    <w:multiLevelType w:val="hybridMultilevel"/>
    <w:tmpl w:val="9886FAA0"/>
    <w:lvl w:ilvl="0" w:tplc="78340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13A1F44"/>
    <w:multiLevelType w:val="hybridMultilevel"/>
    <w:tmpl w:val="06FAE2CC"/>
    <w:lvl w:ilvl="0" w:tplc="68D2CF1A">
      <w:start w:val="1"/>
      <w:numFmt w:val="bullet"/>
      <w:lvlText w:val=""/>
      <w:lvlJc w:val="left"/>
      <w:pPr>
        <w:tabs>
          <w:tab w:val="num" w:pos="540"/>
        </w:tabs>
        <w:ind w:left="540" w:hanging="360"/>
      </w:pPr>
      <w:rPr>
        <w:rFonts w:ascii="Wingdings" w:hAnsi="Wingdings" w:hint="default"/>
        <w:color w:val="auto"/>
      </w:rPr>
    </w:lvl>
    <w:lvl w:ilvl="1" w:tplc="0408000B">
      <w:start w:val="1"/>
      <w:numFmt w:val="bullet"/>
      <w:lvlText w:val=""/>
      <w:lvlJc w:val="left"/>
      <w:pPr>
        <w:tabs>
          <w:tab w:val="num" w:pos="1080"/>
        </w:tabs>
        <w:ind w:left="1080" w:hanging="360"/>
      </w:pPr>
      <w:rPr>
        <w:rFonts w:ascii="Wingdings" w:hAnsi="Wingding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9050A00"/>
    <w:multiLevelType w:val="hybridMultilevel"/>
    <w:tmpl w:val="9FAABAEA"/>
    <w:lvl w:ilvl="0" w:tplc="2D64BAE0">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493E15DF"/>
    <w:multiLevelType w:val="hybridMultilevel"/>
    <w:tmpl w:val="955696B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A914EA7"/>
    <w:multiLevelType w:val="hybridMultilevel"/>
    <w:tmpl w:val="5BDA0D08"/>
    <w:lvl w:ilvl="0" w:tplc="7834083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7D13E02"/>
    <w:multiLevelType w:val="hybridMultilevel"/>
    <w:tmpl w:val="0BC272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EF01CA"/>
    <w:multiLevelType w:val="hybridMultilevel"/>
    <w:tmpl w:val="56EAA9CC"/>
    <w:lvl w:ilvl="0" w:tplc="A858C010">
      <w:start w:val="1"/>
      <w:numFmt w:val="decimal"/>
      <w:lvlText w:val="%1)"/>
      <w:lvlJc w:val="left"/>
      <w:pPr>
        <w:ind w:left="786" w:hanging="360"/>
      </w:pPr>
      <w:rPr>
        <w:rFonts w:ascii="Tahoma" w:eastAsia="Times New Roman" w:hAnsi="Tahoma" w:cs="Tahoma"/>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8">
    <w:nsid w:val="640313B8"/>
    <w:multiLevelType w:val="hybridMultilevel"/>
    <w:tmpl w:val="B8E6CC10"/>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678C257C"/>
    <w:multiLevelType w:val="hybridMultilevel"/>
    <w:tmpl w:val="0B8C6976"/>
    <w:lvl w:ilvl="0" w:tplc="64FC7CD0">
      <w:start w:val="1"/>
      <w:numFmt w:val="decimal"/>
      <w:lvlText w:val="%1)"/>
      <w:lvlJc w:val="left"/>
      <w:pPr>
        <w:ind w:left="1146" w:hanging="360"/>
      </w:pPr>
      <w:rPr>
        <w:rFonts w:ascii="Tahoma" w:eastAsia="Times New Roman" w:hAnsi="Tahoma" w:cs="Tahoma"/>
        <w:b w:val="0"/>
        <w:color w:val="auto"/>
      </w:rPr>
    </w:lvl>
    <w:lvl w:ilvl="1" w:tplc="04080019" w:tentative="1">
      <w:start w:val="1"/>
      <w:numFmt w:val="lowerLetter"/>
      <w:lvlText w:val="%2."/>
      <w:lvlJc w:val="left"/>
      <w:pPr>
        <w:ind w:left="1866" w:hanging="360"/>
      </w:pPr>
      <w:rPr>
        <w:rFonts w:cs="Times New Roman"/>
      </w:rPr>
    </w:lvl>
    <w:lvl w:ilvl="2" w:tplc="0408001B" w:tentative="1">
      <w:start w:val="1"/>
      <w:numFmt w:val="lowerRoman"/>
      <w:lvlText w:val="%3."/>
      <w:lvlJc w:val="right"/>
      <w:pPr>
        <w:ind w:left="2586" w:hanging="180"/>
      </w:pPr>
      <w:rPr>
        <w:rFonts w:cs="Times New Roman"/>
      </w:rPr>
    </w:lvl>
    <w:lvl w:ilvl="3" w:tplc="0408000F" w:tentative="1">
      <w:start w:val="1"/>
      <w:numFmt w:val="decimal"/>
      <w:lvlText w:val="%4."/>
      <w:lvlJc w:val="left"/>
      <w:pPr>
        <w:ind w:left="3306" w:hanging="360"/>
      </w:pPr>
      <w:rPr>
        <w:rFonts w:cs="Times New Roman"/>
      </w:rPr>
    </w:lvl>
    <w:lvl w:ilvl="4" w:tplc="04080019" w:tentative="1">
      <w:start w:val="1"/>
      <w:numFmt w:val="lowerLetter"/>
      <w:lvlText w:val="%5."/>
      <w:lvlJc w:val="left"/>
      <w:pPr>
        <w:ind w:left="4026" w:hanging="360"/>
      </w:pPr>
      <w:rPr>
        <w:rFonts w:cs="Times New Roman"/>
      </w:rPr>
    </w:lvl>
    <w:lvl w:ilvl="5" w:tplc="0408001B" w:tentative="1">
      <w:start w:val="1"/>
      <w:numFmt w:val="lowerRoman"/>
      <w:lvlText w:val="%6."/>
      <w:lvlJc w:val="right"/>
      <w:pPr>
        <w:ind w:left="4746" w:hanging="180"/>
      </w:pPr>
      <w:rPr>
        <w:rFonts w:cs="Times New Roman"/>
      </w:rPr>
    </w:lvl>
    <w:lvl w:ilvl="6" w:tplc="0408000F" w:tentative="1">
      <w:start w:val="1"/>
      <w:numFmt w:val="decimal"/>
      <w:lvlText w:val="%7."/>
      <w:lvlJc w:val="left"/>
      <w:pPr>
        <w:ind w:left="5466" w:hanging="360"/>
      </w:pPr>
      <w:rPr>
        <w:rFonts w:cs="Times New Roman"/>
      </w:rPr>
    </w:lvl>
    <w:lvl w:ilvl="7" w:tplc="04080019" w:tentative="1">
      <w:start w:val="1"/>
      <w:numFmt w:val="lowerLetter"/>
      <w:lvlText w:val="%8."/>
      <w:lvlJc w:val="left"/>
      <w:pPr>
        <w:ind w:left="6186" w:hanging="360"/>
      </w:pPr>
      <w:rPr>
        <w:rFonts w:cs="Times New Roman"/>
      </w:rPr>
    </w:lvl>
    <w:lvl w:ilvl="8" w:tplc="0408001B" w:tentative="1">
      <w:start w:val="1"/>
      <w:numFmt w:val="lowerRoman"/>
      <w:lvlText w:val="%9."/>
      <w:lvlJc w:val="right"/>
      <w:pPr>
        <w:ind w:left="6906" w:hanging="180"/>
      </w:pPr>
      <w:rPr>
        <w:rFonts w:cs="Times New Roman"/>
      </w:rPr>
    </w:lvl>
  </w:abstractNum>
  <w:abstractNum w:abstractNumId="20">
    <w:nsid w:val="6A604121"/>
    <w:multiLevelType w:val="hybridMultilevel"/>
    <w:tmpl w:val="C8A26346"/>
    <w:lvl w:ilvl="0" w:tplc="EBD2877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036099D"/>
    <w:multiLevelType w:val="hybridMultilevel"/>
    <w:tmpl w:val="DA441084"/>
    <w:lvl w:ilvl="0" w:tplc="F08230D8">
      <w:start w:val="1"/>
      <w:numFmt w:val="decimal"/>
      <w:lvlText w:val="%1)"/>
      <w:lvlJc w:val="left"/>
      <w:pPr>
        <w:ind w:left="720" w:hanging="360"/>
      </w:pPr>
      <w:rPr>
        <w:rFonts w:ascii="Tahoma" w:eastAsia="Times New Roman" w:hAnsi="Tahoma" w:cs="Tahoma"/>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55F154D"/>
    <w:multiLevelType w:val="hybridMultilevel"/>
    <w:tmpl w:val="27EE505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76365806"/>
    <w:multiLevelType w:val="hybridMultilevel"/>
    <w:tmpl w:val="6D9C83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144DDC"/>
    <w:multiLevelType w:val="hybridMultilevel"/>
    <w:tmpl w:val="1E74A506"/>
    <w:lvl w:ilvl="0" w:tplc="5BAAE5E4">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C3C6213"/>
    <w:multiLevelType w:val="hybridMultilevel"/>
    <w:tmpl w:val="9B5CA47E"/>
    <w:lvl w:ilvl="0" w:tplc="78340834">
      <w:start w:val="1"/>
      <w:numFmt w:val="decimal"/>
      <w:lvlText w:val="%1)"/>
      <w:lvlJc w:val="left"/>
      <w:pPr>
        <w:ind w:left="720" w:hanging="360"/>
      </w:pPr>
      <w:rPr>
        <w:rFonts w:cs="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D01662B"/>
    <w:multiLevelType w:val="hybridMultilevel"/>
    <w:tmpl w:val="70FC0552"/>
    <w:lvl w:ilvl="0" w:tplc="04080001">
      <w:start w:val="1"/>
      <w:numFmt w:val="bullet"/>
      <w:lvlText w:val=""/>
      <w:lvlJc w:val="left"/>
      <w:pPr>
        <w:tabs>
          <w:tab w:val="num" w:pos="1080"/>
        </w:tabs>
        <w:ind w:left="1080" w:hanging="360"/>
      </w:pPr>
      <w:rPr>
        <w:rFonts w:ascii="Symbol" w:hAnsi="Symbol"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7FD012C4"/>
    <w:multiLevelType w:val="hybridMultilevel"/>
    <w:tmpl w:val="3224DD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4"/>
  </w:num>
  <w:num w:numId="4">
    <w:abstractNumId w:val="12"/>
  </w:num>
  <w:num w:numId="5">
    <w:abstractNumId w:val="2"/>
  </w:num>
  <w:num w:numId="6">
    <w:abstractNumId w:val="1"/>
  </w:num>
  <w:num w:numId="7">
    <w:abstractNumId w:val="18"/>
  </w:num>
  <w:num w:numId="8">
    <w:abstractNumId w:val="19"/>
  </w:num>
  <w:num w:numId="9">
    <w:abstractNumId w:val="4"/>
  </w:num>
  <w:num w:numId="10">
    <w:abstractNumId w:val="10"/>
  </w:num>
  <w:num w:numId="11">
    <w:abstractNumId w:val="13"/>
  </w:num>
  <w:num w:numId="12">
    <w:abstractNumId w:val="22"/>
  </w:num>
  <w:num w:numId="13">
    <w:abstractNumId w:val="7"/>
  </w:num>
  <w:num w:numId="14">
    <w:abstractNumId w:val="25"/>
  </w:num>
  <w:num w:numId="15">
    <w:abstractNumId w:val="0"/>
  </w:num>
  <w:num w:numId="16">
    <w:abstractNumId w:val="6"/>
  </w:num>
  <w:num w:numId="17">
    <w:abstractNumId w:val="11"/>
  </w:num>
  <w:num w:numId="18">
    <w:abstractNumId w:val="16"/>
  </w:num>
  <w:num w:numId="19">
    <w:abstractNumId w:val="21"/>
  </w:num>
  <w:num w:numId="20">
    <w:abstractNumId w:val="15"/>
  </w:num>
  <w:num w:numId="21">
    <w:abstractNumId w:val="23"/>
  </w:num>
  <w:num w:numId="22">
    <w:abstractNumId w:val="27"/>
  </w:num>
  <w:num w:numId="23">
    <w:abstractNumId w:val="8"/>
  </w:num>
  <w:num w:numId="24">
    <w:abstractNumId w:val="24"/>
  </w:num>
  <w:num w:numId="25">
    <w:abstractNumId w:val="3"/>
  </w:num>
  <w:num w:numId="26">
    <w:abstractNumId w:val="20"/>
  </w:num>
  <w:num w:numId="27">
    <w:abstractNumId w:val="5"/>
  </w:num>
  <w:num w:numId="28">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9288D"/>
    <w:rsid w:val="000028B2"/>
    <w:rsid w:val="0000624B"/>
    <w:rsid w:val="00006AB2"/>
    <w:rsid w:val="00006FF7"/>
    <w:rsid w:val="00010586"/>
    <w:rsid w:val="000133A2"/>
    <w:rsid w:val="00015C0F"/>
    <w:rsid w:val="00016D49"/>
    <w:rsid w:val="0002595C"/>
    <w:rsid w:val="0002622D"/>
    <w:rsid w:val="00026AEF"/>
    <w:rsid w:val="00027A45"/>
    <w:rsid w:val="0003277D"/>
    <w:rsid w:val="000344FF"/>
    <w:rsid w:val="00035D8D"/>
    <w:rsid w:val="000366FD"/>
    <w:rsid w:val="0004128C"/>
    <w:rsid w:val="00041E30"/>
    <w:rsid w:val="00041FC2"/>
    <w:rsid w:val="00045C12"/>
    <w:rsid w:val="000464B4"/>
    <w:rsid w:val="000478B8"/>
    <w:rsid w:val="00050F18"/>
    <w:rsid w:val="00060E23"/>
    <w:rsid w:val="0006150A"/>
    <w:rsid w:val="0006286F"/>
    <w:rsid w:val="000633CE"/>
    <w:rsid w:val="00067D51"/>
    <w:rsid w:val="00071760"/>
    <w:rsid w:val="0007352F"/>
    <w:rsid w:val="00081E7B"/>
    <w:rsid w:val="00085BCD"/>
    <w:rsid w:val="00090D65"/>
    <w:rsid w:val="00092934"/>
    <w:rsid w:val="00093261"/>
    <w:rsid w:val="00094A3C"/>
    <w:rsid w:val="000978F2"/>
    <w:rsid w:val="000A0C23"/>
    <w:rsid w:val="000A1062"/>
    <w:rsid w:val="000A1F1D"/>
    <w:rsid w:val="000A2862"/>
    <w:rsid w:val="000A45BE"/>
    <w:rsid w:val="000B3446"/>
    <w:rsid w:val="000B3841"/>
    <w:rsid w:val="000B48CD"/>
    <w:rsid w:val="000B6F7C"/>
    <w:rsid w:val="000C0A3E"/>
    <w:rsid w:val="000C1D06"/>
    <w:rsid w:val="000C2268"/>
    <w:rsid w:val="000C53E1"/>
    <w:rsid w:val="000C540E"/>
    <w:rsid w:val="000C5E52"/>
    <w:rsid w:val="000D2D16"/>
    <w:rsid w:val="000D4421"/>
    <w:rsid w:val="000D7950"/>
    <w:rsid w:val="000E036B"/>
    <w:rsid w:val="000E1AFE"/>
    <w:rsid w:val="000E3E1F"/>
    <w:rsid w:val="000E725F"/>
    <w:rsid w:val="000F08C1"/>
    <w:rsid w:val="000F39D8"/>
    <w:rsid w:val="00101A3D"/>
    <w:rsid w:val="00101F74"/>
    <w:rsid w:val="00102507"/>
    <w:rsid w:val="00102644"/>
    <w:rsid w:val="001044AC"/>
    <w:rsid w:val="0010587B"/>
    <w:rsid w:val="001069C1"/>
    <w:rsid w:val="0010736E"/>
    <w:rsid w:val="0010746D"/>
    <w:rsid w:val="00113096"/>
    <w:rsid w:val="001159EF"/>
    <w:rsid w:val="00117D70"/>
    <w:rsid w:val="0012553E"/>
    <w:rsid w:val="00126404"/>
    <w:rsid w:val="00127847"/>
    <w:rsid w:val="001300BF"/>
    <w:rsid w:val="00131057"/>
    <w:rsid w:val="00133C31"/>
    <w:rsid w:val="0013454A"/>
    <w:rsid w:val="00134AD8"/>
    <w:rsid w:val="00135961"/>
    <w:rsid w:val="0014529E"/>
    <w:rsid w:val="0014559A"/>
    <w:rsid w:val="001526BA"/>
    <w:rsid w:val="00156B2E"/>
    <w:rsid w:val="00166912"/>
    <w:rsid w:val="0017088F"/>
    <w:rsid w:val="001752C3"/>
    <w:rsid w:val="0017764F"/>
    <w:rsid w:val="0018399E"/>
    <w:rsid w:val="00185BE6"/>
    <w:rsid w:val="00187BC3"/>
    <w:rsid w:val="0019436D"/>
    <w:rsid w:val="001A1009"/>
    <w:rsid w:val="001A2145"/>
    <w:rsid w:val="001A3D44"/>
    <w:rsid w:val="001A6A68"/>
    <w:rsid w:val="001A7964"/>
    <w:rsid w:val="001A7E14"/>
    <w:rsid w:val="001B086B"/>
    <w:rsid w:val="001B2699"/>
    <w:rsid w:val="001B61E2"/>
    <w:rsid w:val="001B7CC0"/>
    <w:rsid w:val="001C1F76"/>
    <w:rsid w:val="001C558F"/>
    <w:rsid w:val="001D23D9"/>
    <w:rsid w:val="001E3CB8"/>
    <w:rsid w:val="001E488A"/>
    <w:rsid w:val="001E68EF"/>
    <w:rsid w:val="001F1EB2"/>
    <w:rsid w:val="001F2723"/>
    <w:rsid w:val="002026DD"/>
    <w:rsid w:val="00202B7E"/>
    <w:rsid w:val="00202EA2"/>
    <w:rsid w:val="002035A7"/>
    <w:rsid w:val="00204386"/>
    <w:rsid w:val="00204539"/>
    <w:rsid w:val="0020647A"/>
    <w:rsid w:val="00207196"/>
    <w:rsid w:val="002105DE"/>
    <w:rsid w:val="00210E9B"/>
    <w:rsid w:val="00215F2E"/>
    <w:rsid w:val="00221083"/>
    <w:rsid w:val="00222915"/>
    <w:rsid w:val="00222C4F"/>
    <w:rsid w:val="002245A9"/>
    <w:rsid w:val="00226356"/>
    <w:rsid w:val="00227F1D"/>
    <w:rsid w:val="00230EB6"/>
    <w:rsid w:val="00231B6A"/>
    <w:rsid w:val="00232E82"/>
    <w:rsid w:val="002353A3"/>
    <w:rsid w:val="002440E9"/>
    <w:rsid w:val="00247662"/>
    <w:rsid w:val="00250B7B"/>
    <w:rsid w:val="00252E0F"/>
    <w:rsid w:val="00255BB2"/>
    <w:rsid w:val="002573FA"/>
    <w:rsid w:val="00260103"/>
    <w:rsid w:val="002617EA"/>
    <w:rsid w:val="00261B6C"/>
    <w:rsid w:val="00262D92"/>
    <w:rsid w:val="00263268"/>
    <w:rsid w:val="00265EE5"/>
    <w:rsid w:val="00267149"/>
    <w:rsid w:val="002717DD"/>
    <w:rsid w:val="00272557"/>
    <w:rsid w:val="00274E71"/>
    <w:rsid w:val="002767A5"/>
    <w:rsid w:val="00277072"/>
    <w:rsid w:val="00281DF6"/>
    <w:rsid w:val="0028391F"/>
    <w:rsid w:val="00285E11"/>
    <w:rsid w:val="002861F2"/>
    <w:rsid w:val="002948B1"/>
    <w:rsid w:val="002A15AE"/>
    <w:rsid w:val="002A2C26"/>
    <w:rsid w:val="002A6344"/>
    <w:rsid w:val="002A702B"/>
    <w:rsid w:val="002A73E7"/>
    <w:rsid w:val="002B1097"/>
    <w:rsid w:val="002B79BF"/>
    <w:rsid w:val="002C14D4"/>
    <w:rsid w:val="002C3A9B"/>
    <w:rsid w:val="002C58E5"/>
    <w:rsid w:val="002C5FB3"/>
    <w:rsid w:val="002E16DF"/>
    <w:rsid w:val="002E1EE9"/>
    <w:rsid w:val="002E26BB"/>
    <w:rsid w:val="002E38F0"/>
    <w:rsid w:val="002E6890"/>
    <w:rsid w:val="002F3021"/>
    <w:rsid w:val="002F30BB"/>
    <w:rsid w:val="002F5084"/>
    <w:rsid w:val="002F5ACD"/>
    <w:rsid w:val="00300A49"/>
    <w:rsid w:val="00303124"/>
    <w:rsid w:val="00306781"/>
    <w:rsid w:val="00307B7A"/>
    <w:rsid w:val="0031478A"/>
    <w:rsid w:val="00315382"/>
    <w:rsid w:val="0031721D"/>
    <w:rsid w:val="003340C0"/>
    <w:rsid w:val="00335CC8"/>
    <w:rsid w:val="00345561"/>
    <w:rsid w:val="00345893"/>
    <w:rsid w:val="00350676"/>
    <w:rsid w:val="00350E7D"/>
    <w:rsid w:val="00350FAB"/>
    <w:rsid w:val="00351D2B"/>
    <w:rsid w:val="003535A6"/>
    <w:rsid w:val="00355517"/>
    <w:rsid w:val="00356BAD"/>
    <w:rsid w:val="00357FBA"/>
    <w:rsid w:val="003603F1"/>
    <w:rsid w:val="003638B1"/>
    <w:rsid w:val="0036421C"/>
    <w:rsid w:val="003677EE"/>
    <w:rsid w:val="00367F99"/>
    <w:rsid w:val="00377740"/>
    <w:rsid w:val="0038134A"/>
    <w:rsid w:val="003827E5"/>
    <w:rsid w:val="00384B3C"/>
    <w:rsid w:val="00385287"/>
    <w:rsid w:val="00385B55"/>
    <w:rsid w:val="00390908"/>
    <w:rsid w:val="00392595"/>
    <w:rsid w:val="0039288D"/>
    <w:rsid w:val="00393D68"/>
    <w:rsid w:val="003A074C"/>
    <w:rsid w:val="003A180D"/>
    <w:rsid w:val="003A3D53"/>
    <w:rsid w:val="003A7663"/>
    <w:rsid w:val="003A7C32"/>
    <w:rsid w:val="003B0CF3"/>
    <w:rsid w:val="003B27EB"/>
    <w:rsid w:val="003B4B65"/>
    <w:rsid w:val="003B6F54"/>
    <w:rsid w:val="003C0948"/>
    <w:rsid w:val="003C1DA8"/>
    <w:rsid w:val="003C5CFD"/>
    <w:rsid w:val="003C76F2"/>
    <w:rsid w:val="003C7D4F"/>
    <w:rsid w:val="003D0DE0"/>
    <w:rsid w:val="003D2AA0"/>
    <w:rsid w:val="003D2D09"/>
    <w:rsid w:val="003D7DFB"/>
    <w:rsid w:val="003E2927"/>
    <w:rsid w:val="003E3A07"/>
    <w:rsid w:val="003F10CA"/>
    <w:rsid w:val="003F3799"/>
    <w:rsid w:val="003F4371"/>
    <w:rsid w:val="003F46F5"/>
    <w:rsid w:val="003F6A58"/>
    <w:rsid w:val="003F7FBB"/>
    <w:rsid w:val="00401ED5"/>
    <w:rsid w:val="0040618D"/>
    <w:rsid w:val="00406FEA"/>
    <w:rsid w:val="004135E2"/>
    <w:rsid w:val="00414360"/>
    <w:rsid w:val="0042168D"/>
    <w:rsid w:val="0042718C"/>
    <w:rsid w:val="0043063B"/>
    <w:rsid w:val="00432CAF"/>
    <w:rsid w:val="004336EC"/>
    <w:rsid w:val="00434AEB"/>
    <w:rsid w:val="00436A77"/>
    <w:rsid w:val="004373F1"/>
    <w:rsid w:val="004412E8"/>
    <w:rsid w:val="00443695"/>
    <w:rsid w:val="0044538C"/>
    <w:rsid w:val="0044567F"/>
    <w:rsid w:val="00452761"/>
    <w:rsid w:val="00452C67"/>
    <w:rsid w:val="00453F90"/>
    <w:rsid w:val="00460403"/>
    <w:rsid w:val="00463686"/>
    <w:rsid w:val="00463BBE"/>
    <w:rsid w:val="00465F3B"/>
    <w:rsid w:val="004724A0"/>
    <w:rsid w:val="00472BF0"/>
    <w:rsid w:val="00473A9F"/>
    <w:rsid w:val="00474677"/>
    <w:rsid w:val="0047526F"/>
    <w:rsid w:val="004772A6"/>
    <w:rsid w:val="004810CE"/>
    <w:rsid w:val="004839C8"/>
    <w:rsid w:val="004853C0"/>
    <w:rsid w:val="004878BB"/>
    <w:rsid w:val="00490F37"/>
    <w:rsid w:val="00491456"/>
    <w:rsid w:val="00491EE1"/>
    <w:rsid w:val="00492618"/>
    <w:rsid w:val="00494916"/>
    <w:rsid w:val="00494DA1"/>
    <w:rsid w:val="00497236"/>
    <w:rsid w:val="004972B2"/>
    <w:rsid w:val="004A1283"/>
    <w:rsid w:val="004A4072"/>
    <w:rsid w:val="004A78E5"/>
    <w:rsid w:val="004B04BD"/>
    <w:rsid w:val="004B054C"/>
    <w:rsid w:val="004B2D60"/>
    <w:rsid w:val="004B5E23"/>
    <w:rsid w:val="004B5FA3"/>
    <w:rsid w:val="004B7BD2"/>
    <w:rsid w:val="004C73E1"/>
    <w:rsid w:val="004D193B"/>
    <w:rsid w:val="004D5B67"/>
    <w:rsid w:val="004E4D06"/>
    <w:rsid w:val="004E513F"/>
    <w:rsid w:val="004E5BE0"/>
    <w:rsid w:val="004F0212"/>
    <w:rsid w:val="004F3707"/>
    <w:rsid w:val="004F5A08"/>
    <w:rsid w:val="00503AD1"/>
    <w:rsid w:val="00504DFF"/>
    <w:rsid w:val="00506EB6"/>
    <w:rsid w:val="005115B1"/>
    <w:rsid w:val="00512E98"/>
    <w:rsid w:val="00515965"/>
    <w:rsid w:val="005174A8"/>
    <w:rsid w:val="0051792E"/>
    <w:rsid w:val="0052090A"/>
    <w:rsid w:val="00520B31"/>
    <w:rsid w:val="005216BF"/>
    <w:rsid w:val="00522D5D"/>
    <w:rsid w:val="00526F79"/>
    <w:rsid w:val="005272A8"/>
    <w:rsid w:val="00527926"/>
    <w:rsid w:val="00527A34"/>
    <w:rsid w:val="00530525"/>
    <w:rsid w:val="00531654"/>
    <w:rsid w:val="00532D11"/>
    <w:rsid w:val="005347AD"/>
    <w:rsid w:val="00534945"/>
    <w:rsid w:val="0053772A"/>
    <w:rsid w:val="00537BF5"/>
    <w:rsid w:val="00554BB4"/>
    <w:rsid w:val="00555EC2"/>
    <w:rsid w:val="00556999"/>
    <w:rsid w:val="00557995"/>
    <w:rsid w:val="00562674"/>
    <w:rsid w:val="00562F02"/>
    <w:rsid w:val="005657C4"/>
    <w:rsid w:val="00570823"/>
    <w:rsid w:val="00574D8C"/>
    <w:rsid w:val="00576A54"/>
    <w:rsid w:val="00577400"/>
    <w:rsid w:val="00580D80"/>
    <w:rsid w:val="005835FC"/>
    <w:rsid w:val="00583928"/>
    <w:rsid w:val="00590761"/>
    <w:rsid w:val="005912D2"/>
    <w:rsid w:val="0059229F"/>
    <w:rsid w:val="00594DD6"/>
    <w:rsid w:val="00596985"/>
    <w:rsid w:val="005A0AD0"/>
    <w:rsid w:val="005A474C"/>
    <w:rsid w:val="005A6053"/>
    <w:rsid w:val="005B4BC6"/>
    <w:rsid w:val="005B6C38"/>
    <w:rsid w:val="005C1577"/>
    <w:rsid w:val="005C442E"/>
    <w:rsid w:val="005D0573"/>
    <w:rsid w:val="005D33D5"/>
    <w:rsid w:val="005E1544"/>
    <w:rsid w:val="00604E45"/>
    <w:rsid w:val="00605D75"/>
    <w:rsid w:val="00605F53"/>
    <w:rsid w:val="00614236"/>
    <w:rsid w:val="0061772F"/>
    <w:rsid w:val="00621053"/>
    <w:rsid w:val="00622C72"/>
    <w:rsid w:val="006250C8"/>
    <w:rsid w:val="0062573C"/>
    <w:rsid w:val="00625A87"/>
    <w:rsid w:val="00631E3B"/>
    <w:rsid w:val="00635AEA"/>
    <w:rsid w:val="0064205D"/>
    <w:rsid w:val="00642C72"/>
    <w:rsid w:val="006441DB"/>
    <w:rsid w:val="00645720"/>
    <w:rsid w:val="0064673A"/>
    <w:rsid w:val="0064755D"/>
    <w:rsid w:val="00651D00"/>
    <w:rsid w:val="00653592"/>
    <w:rsid w:val="0065592E"/>
    <w:rsid w:val="0066182D"/>
    <w:rsid w:val="00672BEB"/>
    <w:rsid w:val="0067437B"/>
    <w:rsid w:val="00674607"/>
    <w:rsid w:val="00675576"/>
    <w:rsid w:val="0067616A"/>
    <w:rsid w:val="00680E0C"/>
    <w:rsid w:val="00681EC5"/>
    <w:rsid w:val="00682371"/>
    <w:rsid w:val="006853D6"/>
    <w:rsid w:val="00686BE0"/>
    <w:rsid w:val="006920BD"/>
    <w:rsid w:val="00693170"/>
    <w:rsid w:val="00693321"/>
    <w:rsid w:val="00697E23"/>
    <w:rsid w:val="006A06E7"/>
    <w:rsid w:val="006A260B"/>
    <w:rsid w:val="006A316A"/>
    <w:rsid w:val="006B1869"/>
    <w:rsid w:val="006B536D"/>
    <w:rsid w:val="006C5537"/>
    <w:rsid w:val="006C6D36"/>
    <w:rsid w:val="006C7E9E"/>
    <w:rsid w:val="006D2AFA"/>
    <w:rsid w:val="006D4935"/>
    <w:rsid w:val="006D7391"/>
    <w:rsid w:val="006E45EE"/>
    <w:rsid w:val="006E4EEA"/>
    <w:rsid w:val="006E6F25"/>
    <w:rsid w:val="006E7A6C"/>
    <w:rsid w:val="006F05ED"/>
    <w:rsid w:val="006F1E37"/>
    <w:rsid w:val="006F306D"/>
    <w:rsid w:val="006F6116"/>
    <w:rsid w:val="006F62B3"/>
    <w:rsid w:val="006F77D9"/>
    <w:rsid w:val="00705759"/>
    <w:rsid w:val="0070663F"/>
    <w:rsid w:val="00706A2C"/>
    <w:rsid w:val="007076AD"/>
    <w:rsid w:val="00710417"/>
    <w:rsid w:val="00714DCD"/>
    <w:rsid w:val="0071557C"/>
    <w:rsid w:val="007155C3"/>
    <w:rsid w:val="00716E4D"/>
    <w:rsid w:val="007176E0"/>
    <w:rsid w:val="00722EEB"/>
    <w:rsid w:val="0073410D"/>
    <w:rsid w:val="00734DF8"/>
    <w:rsid w:val="00735975"/>
    <w:rsid w:val="007415C7"/>
    <w:rsid w:val="00741635"/>
    <w:rsid w:val="00741FD2"/>
    <w:rsid w:val="00742664"/>
    <w:rsid w:val="0074326D"/>
    <w:rsid w:val="007442A6"/>
    <w:rsid w:val="00744EF3"/>
    <w:rsid w:val="0075461E"/>
    <w:rsid w:val="00761BDB"/>
    <w:rsid w:val="00763C3F"/>
    <w:rsid w:val="00764E0D"/>
    <w:rsid w:val="00766A21"/>
    <w:rsid w:val="00767247"/>
    <w:rsid w:val="007709B6"/>
    <w:rsid w:val="007715EA"/>
    <w:rsid w:val="00772798"/>
    <w:rsid w:val="00772B3F"/>
    <w:rsid w:val="00774FCA"/>
    <w:rsid w:val="0078785D"/>
    <w:rsid w:val="007902B8"/>
    <w:rsid w:val="00790E5F"/>
    <w:rsid w:val="007919CF"/>
    <w:rsid w:val="007957CF"/>
    <w:rsid w:val="00796377"/>
    <w:rsid w:val="00797226"/>
    <w:rsid w:val="007A3EC4"/>
    <w:rsid w:val="007A6E12"/>
    <w:rsid w:val="007B0398"/>
    <w:rsid w:val="007B52FC"/>
    <w:rsid w:val="007C0317"/>
    <w:rsid w:val="007C2BD2"/>
    <w:rsid w:val="007C59A4"/>
    <w:rsid w:val="007D052F"/>
    <w:rsid w:val="007D2137"/>
    <w:rsid w:val="007D3A34"/>
    <w:rsid w:val="007D6566"/>
    <w:rsid w:val="007E2801"/>
    <w:rsid w:val="007E2E20"/>
    <w:rsid w:val="007E4656"/>
    <w:rsid w:val="007E46A7"/>
    <w:rsid w:val="007E57C7"/>
    <w:rsid w:val="007F5564"/>
    <w:rsid w:val="00803B12"/>
    <w:rsid w:val="00804146"/>
    <w:rsid w:val="00805D5C"/>
    <w:rsid w:val="00806674"/>
    <w:rsid w:val="00806CBE"/>
    <w:rsid w:val="00810C03"/>
    <w:rsid w:val="008146E0"/>
    <w:rsid w:val="00817559"/>
    <w:rsid w:val="0082196A"/>
    <w:rsid w:val="0082476B"/>
    <w:rsid w:val="00826711"/>
    <w:rsid w:val="008304D9"/>
    <w:rsid w:val="00830F08"/>
    <w:rsid w:val="0083137A"/>
    <w:rsid w:val="0083195F"/>
    <w:rsid w:val="00832CC2"/>
    <w:rsid w:val="00834811"/>
    <w:rsid w:val="00834FA9"/>
    <w:rsid w:val="00835B86"/>
    <w:rsid w:val="00836994"/>
    <w:rsid w:val="0084174B"/>
    <w:rsid w:val="0084677D"/>
    <w:rsid w:val="008467F3"/>
    <w:rsid w:val="00847B5D"/>
    <w:rsid w:val="0085035F"/>
    <w:rsid w:val="00854750"/>
    <w:rsid w:val="00854DE6"/>
    <w:rsid w:val="00855FB6"/>
    <w:rsid w:val="0086544D"/>
    <w:rsid w:val="00866E2C"/>
    <w:rsid w:val="008716B3"/>
    <w:rsid w:val="00873618"/>
    <w:rsid w:val="008742D2"/>
    <w:rsid w:val="0087473C"/>
    <w:rsid w:val="00877706"/>
    <w:rsid w:val="00877DFC"/>
    <w:rsid w:val="00880688"/>
    <w:rsid w:val="00883FEC"/>
    <w:rsid w:val="00884024"/>
    <w:rsid w:val="00884348"/>
    <w:rsid w:val="00891BB2"/>
    <w:rsid w:val="008924AF"/>
    <w:rsid w:val="00893AA7"/>
    <w:rsid w:val="008959B2"/>
    <w:rsid w:val="008975F0"/>
    <w:rsid w:val="008979A8"/>
    <w:rsid w:val="008A52EA"/>
    <w:rsid w:val="008B05F3"/>
    <w:rsid w:val="008B228B"/>
    <w:rsid w:val="008B5ED6"/>
    <w:rsid w:val="008B6AA5"/>
    <w:rsid w:val="008B6F45"/>
    <w:rsid w:val="008C5AEB"/>
    <w:rsid w:val="008D3F81"/>
    <w:rsid w:val="008D7610"/>
    <w:rsid w:val="008E003D"/>
    <w:rsid w:val="008E315C"/>
    <w:rsid w:val="008E4116"/>
    <w:rsid w:val="008F2928"/>
    <w:rsid w:val="008F485A"/>
    <w:rsid w:val="008F4D7C"/>
    <w:rsid w:val="00900636"/>
    <w:rsid w:val="00900C6A"/>
    <w:rsid w:val="00903796"/>
    <w:rsid w:val="00906CEC"/>
    <w:rsid w:val="00912C40"/>
    <w:rsid w:val="00913492"/>
    <w:rsid w:val="00925A9D"/>
    <w:rsid w:val="00925EAC"/>
    <w:rsid w:val="009319CC"/>
    <w:rsid w:val="00932A7F"/>
    <w:rsid w:val="0093517A"/>
    <w:rsid w:val="009413D3"/>
    <w:rsid w:val="00943314"/>
    <w:rsid w:val="00946E43"/>
    <w:rsid w:val="0095030B"/>
    <w:rsid w:val="009531F3"/>
    <w:rsid w:val="0096076B"/>
    <w:rsid w:val="009647E1"/>
    <w:rsid w:val="009652FD"/>
    <w:rsid w:val="00966EF8"/>
    <w:rsid w:val="0096726D"/>
    <w:rsid w:val="00967C1A"/>
    <w:rsid w:val="0097043B"/>
    <w:rsid w:val="00972FF9"/>
    <w:rsid w:val="00973D62"/>
    <w:rsid w:val="009758DB"/>
    <w:rsid w:val="009768B4"/>
    <w:rsid w:val="0098034D"/>
    <w:rsid w:val="00981EE8"/>
    <w:rsid w:val="00983304"/>
    <w:rsid w:val="009838C1"/>
    <w:rsid w:val="009866A5"/>
    <w:rsid w:val="009877B6"/>
    <w:rsid w:val="0099178F"/>
    <w:rsid w:val="00993817"/>
    <w:rsid w:val="00996B5B"/>
    <w:rsid w:val="009A119A"/>
    <w:rsid w:val="009A2F62"/>
    <w:rsid w:val="009A4DEB"/>
    <w:rsid w:val="009A7EE6"/>
    <w:rsid w:val="009B3648"/>
    <w:rsid w:val="009B6326"/>
    <w:rsid w:val="009C1013"/>
    <w:rsid w:val="009C1F93"/>
    <w:rsid w:val="009C3F68"/>
    <w:rsid w:val="009C68D7"/>
    <w:rsid w:val="009D01B3"/>
    <w:rsid w:val="009D0CF2"/>
    <w:rsid w:val="009D664C"/>
    <w:rsid w:val="009E28D3"/>
    <w:rsid w:val="009E3893"/>
    <w:rsid w:val="009E4760"/>
    <w:rsid w:val="009E4825"/>
    <w:rsid w:val="009E4A3B"/>
    <w:rsid w:val="009E4B7B"/>
    <w:rsid w:val="009F40CF"/>
    <w:rsid w:val="00A0076C"/>
    <w:rsid w:val="00A03231"/>
    <w:rsid w:val="00A04183"/>
    <w:rsid w:val="00A05F2C"/>
    <w:rsid w:val="00A07518"/>
    <w:rsid w:val="00A156A5"/>
    <w:rsid w:val="00A1650E"/>
    <w:rsid w:val="00A172B1"/>
    <w:rsid w:val="00A23B8E"/>
    <w:rsid w:val="00A25EEC"/>
    <w:rsid w:val="00A30DB5"/>
    <w:rsid w:val="00A3226F"/>
    <w:rsid w:val="00A4000F"/>
    <w:rsid w:val="00A46430"/>
    <w:rsid w:val="00A46DB1"/>
    <w:rsid w:val="00A47090"/>
    <w:rsid w:val="00A50B2F"/>
    <w:rsid w:val="00A56727"/>
    <w:rsid w:val="00A573DD"/>
    <w:rsid w:val="00A60141"/>
    <w:rsid w:val="00A6063C"/>
    <w:rsid w:val="00A606A8"/>
    <w:rsid w:val="00A6106D"/>
    <w:rsid w:val="00A6167F"/>
    <w:rsid w:val="00A61E0E"/>
    <w:rsid w:val="00A630FC"/>
    <w:rsid w:val="00A67455"/>
    <w:rsid w:val="00A77E5E"/>
    <w:rsid w:val="00A83D51"/>
    <w:rsid w:val="00A8432F"/>
    <w:rsid w:val="00A8504D"/>
    <w:rsid w:val="00A85822"/>
    <w:rsid w:val="00A87FF8"/>
    <w:rsid w:val="00A96B02"/>
    <w:rsid w:val="00A97CB3"/>
    <w:rsid w:val="00AA0CA3"/>
    <w:rsid w:val="00AB1620"/>
    <w:rsid w:val="00AB177D"/>
    <w:rsid w:val="00AB17C4"/>
    <w:rsid w:val="00AB37F1"/>
    <w:rsid w:val="00AB4D75"/>
    <w:rsid w:val="00AB640C"/>
    <w:rsid w:val="00AB6C9A"/>
    <w:rsid w:val="00AC5547"/>
    <w:rsid w:val="00AC597A"/>
    <w:rsid w:val="00AE61C4"/>
    <w:rsid w:val="00AE6DE7"/>
    <w:rsid w:val="00AF089D"/>
    <w:rsid w:val="00AF2328"/>
    <w:rsid w:val="00AF2A1D"/>
    <w:rsid w:val="00AF4C80"/>
    <w:rsid w:val="00B1126E"/>
    <w:rsid w:val="00B120C4"/>
    <w:rsid w:val="00B12405"/>
    <w:rsid w:val="00B20302"/>
    <w:rsid w:val="00B25938"/>
    <w:rsid w:val="00B25D56"/>
    <w:rsid w:val="00B412B1"/>
    <w:rsid w:val="00B412D2"/>
    <w:rsid w:val="00B429EE"/>
    <w:rsid w:val="00B44B16"/>
    <w:rsid w:val="00B45BFB"/>
    <w:rsid w:val="00B4776C"/>
    <w:rsid w:val="00B50551"/>
    <w:rsid w:val="00B52A2A"/>
    <w:rsid w:val="00B53F29"/>
    <w:rsid w:val="00B542E8"/>
    <w:rsid w:val="00B56E8F"/>
    <w:rsid w:val="00B56FFD"/>
    <w:rsid w:val="00B6045E"/>
    <w:rsid w:val="00B6054C"/>
    <w:rsid w:val="00B617E0"/>
    <w:rsid w:val="00B63D20"/>
    <w:rsid w:val="00B640C8"/>
    <w:rsid w:val="00B658FF"/>
    <w:rsid w:val="00B71326"/>
    <w:rsid w:val="00B72447"/>
    <w:rsid w:val="00B743AA"/>
    <w:rsid w:val="00B76094"/>
    <w:rsid w:val="00B80CCE"/>
    <w:rsid w:val="00B81355"/>
    <w:rsid w:val="00B81A98"/>
    <w:rsid w:val="00B81B3E"/>
    <w:rsid w:val="00B90134"/>
    <w:rsid w:val="00B93893"/>
    <w:rsid w:val="00B93A3A"/>
    <w:rsid w:val="00B97C27"/>
    <w:rsid w:val="00BA5F34"/>
    <w:rsid w:val="00BA62F6"/>
    <w:rsid w:val="00BA7AA3"/>
    <w:rsid w:val="00BB3DDD"/>
    <w:rsid w:val="00BB4A6E"/>
    <w:rsid w:val="00BC5B0B"/>
    <w:rsid w:val="00BD0840"/>
    <w:rsid w:val="00BD31FA"/>
    <w:rsid w:val="00BD64A0"/>
    <w:rsid w:val="00BE275B"/>
    <w:rsid w:val="00BE45C5"/>
    <w:rsid w:val="00BE5614"/>
    <w:rsid w:val="00BE5B5D"/>
    <w:rsid w:val="00BE7AEC"/>
    <w:rsid w:val="00BF01B2"/>
    <w:rsid w:val="00BF05F7"/>
    <w:rsid w:val="00BF0C30"/>
    <w:rsid w:val="00BF5C50"/>
    <w:rsid w:val="00BF7A7D"/>
    <w:rsid w:val="00C00536"/>
    <w:rsid w:val="00C0084A"/>
    <w:rsid w:val="00C02A62"/>
    <w:rsid w:val="00C03D56"/>
    <w:rsid w:val="00C06964"/>
    <w:rsid w:val="00C07F84"/>
    <w:rsid w:val="00C13A45"/>
    <w:rsid w:val="00C146CD"/>
    <w:rsid w:val="00C1602B"/>
    <w:rsid w:val="00C20C30"/>
    <w:rsid w:val="00C20C75"/>
    <w:rsid w:val="00C22B0C"/>
    <w:rsid w:val="00C242C6"/>
    <w:rsid w:val="00C252F1"/>
    <w:rsid w:val="00C264B9"/>
    <w:rsid w:val="00C34C6F"/>
    <w:rsid w:val="00C36BED"/>
    <w:rsid w:val="00C41D0F"/>
    <w:rsid w:val="00C4362C"/>
    <w:rsid w:val="00C437E0"/>
    <w:rsid w:val="00C43E17"/>
    <w:rsid w:val="00C44604"/>
    <w:rsid w:val="00C44E1E"/>
    <w:rsid w:val="00C45DF7"/>
    <w:rsid w:val="00C462DA"/>
    <w:rsid w:val="00C505CF"/>
    <w:rsid w:val="00C53A06"/>
    <w:rsid w:val="00C55275"/>
    <w:rsid w:val="00C55EAF"/>
    <w:rsid w:val="00C568C3"/>
    <w:rsid w:val="00C608A3"/>
    <w:rsid w:val="00C61F4D"/>
    <w:rsid w:val="00C64340"/>
    <w:rsid w:val="00C65B5A"/>
    <w:rsid w:val="00C73E83"/>
    <w:rsid w:val="00C74C6F"/>
    <w:rsid w:val="00C7707C"/>
    <w:rsid w:val="00C80BE9"/>
    <w:rsid w:val="00C82690"/>
    <w:rsid w:val="00C840BF"/>
    <w:rsid w:val="00C86AC9"/>
    <w:rsid w:val="00C9611A"/>
    <w:rsid w:val="00C96E8E"/>
    <w:rsid w:val="00CA444C"/>
    <w:rsid w:val="00CA44EC"/>
    <w:rsid w:val="00CB03C1"/>
    <w:rsid w:val="00CB0FA0"/>
    <w:rsid w:val="00CB152C"/>
    <w:rsid w:val="00CB6D86"/>
    <w:rsid w:val="00CB72AC"/>
    <w:rsid w:val="00CB7A4E"/>
    <w:rsid w:val="00CC21F7"/>
    <w:rsid w:val="00CC2CF9"/>
    <w:rsid w:val="00CC2F6B"/>
    <w:rsid w:val="00CC5AD7"/>
    <w:rsid w:val="00CC7C0C"/>
    <w:rsid w:val="00CD2E23"/>
    <w:rsid w:val="00CD3C5A"/>
    <w:rsid w:val="00CD4D87"/>
    <w:rsid w:val="00CD5BAA"/>
    <w:rsid w:val="00CD6F77"/>
    <w:rsid w:val="00CE0076"/>
    <w:rsid w:val="00CE38CF"/>
    <w:rsid w:val="00CE5212"/>
    <w:rsid w:val="00CE64B7"/>
    <w:rsid w:val="00CE76D0"/>
    <w:rsid w:val="00CE7B9F"/>
    <w:rsid w:val="00CF382E"/>
    <w:rsid w:val="00CF38C7"/>
    <w:rsid w:val="00CF4C74"/>
    <w:rsid w:val="00D00BD9"/>
    <w:rsid w:val="00D01EC2"/>
    <w:rsid w:val="00D03915"/>
    <w:rsid w:val="00D14D7B"/>
    <w:rsid w:val="00D156EE"/>
    <w:rsid w:val="00D17E52"/>
    <w:rsid w:val="00D2031A"/>
    <w:rsid w:val="00D207F2"/>
    <w:rsid w:val="00D23180"/>
    <w:rsid w:val="00D26554"/>
    <w:rsid w:val="00D360E0"/>
    <w:rsid w:val="00D36730"/>
    <w:rsid w:val="00D441B3"/>
    <w:rsid w:val="00D54CC1"/>
    <w:rsid w:val="00D57A9E"/>
    <w:rsid w:val="00D6031F"/>
    <w:rsid w:val="00D63265"/>
    <w:rsid w:val="00D637D8"/>
    <w:rsid w:val="00D645E8"/>
    <w:rsid w:val="00D65322"/>
    <w:rsid w:val="00D66BD7"/>
    <w:rsid w:val="00D67221"/>
    <w:rsid w:val="00D71F2A"/>
    <w:rsid w:val="00D73101"/>
    <w:rsid w:val="00D75F7D"/>
    <w:rsid w:val="00D813B1"/>
    <w:rsid w:val="00D83838"/>
    <w:rsid w:val="00D83DD1"/>
    <w:rsid w:val="00D866F7"/>
    <w:rsid w:val="00D92C2C"/>
    <w:rsid w:val="00D932C8"/>
    <w:rsid w:val="00D94E13"/>
    <w:rsid w:val="00DA14F6"/>
    <w:rsid w:val="00DB0C44"/>
    <w:rsid w:val="00DB2DF1"/>
    <w:rsid w:val="00DB521B"/>
    <w:rsid w:val="00DB53AA"/>
    <w:rsid w:val="00DB5484"/>
    <w:rsid w:val="00DB6354"/>
    <w:rsid w:val="00DC2062"/>
    <w:rsid w:val="00DC42AB"/>
    <w:rsid w:val="00DC5B05"/>
    <w:rsid w:val="00DC79DB"/>
    <w:rsid w:val="00DC7E34"/>
    <w:rsid w:val="00DD1914"/>
    <w:rsid w:val="00DD5478"/>
    <w:rsid w:val="00DD7284"/>
    <w:rsid w:val="00DE0D87"/>
    <w:rsid w:val="00DE0DA1"/>
    <w:rsid w:val="00DE3BED"/>
    <w:rsid w:val="00DE5D32"/>
    <w:rsid w:val="00DE5E18"/>
    <w:rsid w:val="00DE642F"/>
    <w:rsid w:val="00DE6CC0"/>
    <w:rsid w:val="00DF2837"/>
    <w:rsid w:val="00E00C90"/>
    <w:rsid w:val="00E02610"/>
    <w:rsid w:val="00E02BE1"/>
    <w:rsid w:val="00E04249"/>
    <w:rsid w:val="00E07CEC"/>
    <w:rsid w:val="00E131A2"/>
    <w:rsid w:val="00E23D01"/>
    <w:rsid w:val="00E26E25"/>
    <w:rsid w:val="00E278C1"/>
    <w:rsid w:val="00E30346"/>
    <w:rsid w:val="00E35615"/>
    <w:rsid w:val="00E40E98"/>
    <w:rsid w:val="00E413B7"/>
    <w:rsid w:val="00E43CB1"/>
    <w:rsid w:val="00E46A84"/>
    <w:rsid w:val="00E47955"/>
    <w:rsid w:val="00E50FD1"/>
    <w:rsid w:val="00E5225E"/>
    <w:rsid w:val="00E54013"/>
    <w:rsid w:val="00E54F10"/>
    <w:rsid w:val="00E5677E"/>
    <w:rsid w:val="00E61D2F"/>
    <w:rsid w:val="00E62395"/>
    <w:rsid w:val="00E63193"/>
    <w:rsid w:val="00E6345A"/>
    <w:rsid w:val="00E65CD4"/>
    <w:rsid w:val="00E67212"/>
    <w:rsid w:val="00E740B6"/>
    <w:rsid w:val="00E74A3B"/>
    <w:rsid w:val="00E75E01"/>
    <w:rsid w:val="00E80626"/>
    <w:rsid w:val="00E80D5C"/>
    <w:rsid w:val="00E82B43"/>
    <w:rsid w:val="00E85589"/>
    <w:rsid w:val="00E864BC"/>
    <w:rsid w:val="00E91421"/>
    <w:rsid w:val="00E92512"/>
    <w:rsid w:val="00E9356C"/>
    <w:rsid w:val="00E96F43"/>
    <w:rsid w:val="00EA0343"/>
    <w:rsid w:val="00EA26E1"/>
    <w:rsid w:val="00EA3DFD"/>
    <w:rsid w:val="00EA57CC"/>
    <w:rsid w:val="00EA62F7"/>
    <w:rsid w:val="00EA654A"/>
    <w:rsid w:val="00EA78FA"/>
    <w:rsid w:val="00EA7BD7"/>
    <w:rsid w:val="00EB2C7D"/>
    <w:rsid w:val="00EB421D"/>
    <w:rsid w:val="00EB7B15"/>
    <w:rsid w:val="00EC3B0D"/>
    <w:rsid w:val="00EC4302"/>
    <w:rsid w:val="00EC7E17"/>
    <w:rsid w:val="00ED2638"/>
    <w:rsid w:val="00ED427B"/>
    <w:rsid w:val="00ED75BB"/>
    <w:rsid w:val="00EE01FE"/>
    <w:rsid w:val="00EE55A5"/>
    <w:rsid w:val="00EF1803"/>
    <w:rsid w:val="00EF1F6C"/>
    <w:rsid w:val="00EF7535"/>
    <w:rsid w:val="00F03E99"/>
    <w:rsid w:val="00F05A8D"/>
    <w:rsid w:val="00F0716C"/>
    <w:rsid w:val="00F10118"/>
    <w:rsid w:val="00F1288E"/>
    <w:rsid w:val="00F16110"/>
    <w:rsid w:val="00F17844"/>
    <w:rsid w:val="00F22C6E"/>
    <w:rsid w:val="00F22EDA"/>
    <w:rsid w:val="00F241C5"/>
    <w:rsid w:val="00F25918"/>
    <w:rsid w:val="00F25B76"/>
    <w:rsid w:val="00F318DB"/>
    <w:rsid w:val="00F31961"/>
    <w:rsid w:val="00F31A3F"/>
    <w:rsid w:val="00F359A8"/>
    <w:rsid w:val="00F4157E"/>
    <w:rsid w:val="00F513B0"/>
    <w:rsid w:val="00F51C4C"/>
    <w:rsid w:val="00F52927"/>
    <w:rsid w:val="00F52AC7"/>
    <w:rsid w:val="00F639A2"/>
    <w:rsid w:val="00F6557D"/>
    <w:rsid w:val="00F679C3"/>
    <w:rsid w:val="00F731A7"/>
    <w:rsid w:val="00F76A10"/>
    <w:rsid w:val="00F77B83"/>
    <w:rsid w:val="00F96AEC"/>
    <w:rsid w:val="00F97540"/>
    <w:rsid w:val="00FA3D17"/>
    <w:rsid w:val="00FB5B39"/>
    <w:rsid w:val="00FC12FD"/>
    <w:rsid w:val="00FC2489"/>
    <w:rsid w:val="00FD042B"/>
    <w:rsid w:val="00FD1CA3"/>
    <w:rsid w:val="00FD55E4"/>
    <w:rsid w:val="00FD6774"/>
    <w:rsid w:val="00FE4445"/>
    <w:rsid w:val="00FF0207"/>
    <w:rsid w:val="00FF053A"/>
    <w:rsid w:val="00FF0AFD"/>
    <w:rsid w:val="00FF16F4"/>
    <w:rsid w:val="00FF2144"/>
    <w:rsid w:val="00FF44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2D"/>
    <w:rPr>
      <w:sz w:val="24"/>
      <w:szCs w:val="24"/>
    </w:rPr>
  </w:style>
  <w:style w:type="paragraph" w:styleId="2">
    <w:name w:val="heading 2"/>
    <w:basedOn w:val="a"/>
    <w:next w:val="a"/>
    <w:link w:val="2Char"/>
    <w:uiPriority w:val="99"/>
    <w:qFormat/>
    <w:rsid w:val="00BD31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6441DB"/>
    <w:rPr>
      <w:rFonts w:ascii="Cambria" w:hAnsi="Cambria" w:cs="Times New Roman"/>
      <w:b/>
      <w:bCs/>
      <w:i/>
      <w:iCs/>
      <w:sz w:val="28"/>
      <w:szCs w:val="28"/>
    </w:rPr>
  </w:style>
  <w:style w:type="character" w:styleId="-">
    <w:name w:val="Hyperlink"/>
    <w:uiPriority w:val="99"/>
    <w:rsid w:val="00BD31FA"/>
    <w:rPr>
      <w:rFonts w:cs="Times New Roman"/>
      <w:color w:val="0000FF"/>
      <w:u w:val="single"/>
    </w:rPr>
  </w:style>
  <w:style w:type="paragraph" w:styleId="Web">
    <w:name w:val="Normal (Web)"/>
    <w:basedOn w:val="a"/>
    <w:uiPriority w:val="99"/>
    <w:rsid w:val="00BD31FA"/>
    <w:pPr>
      <w:spacing w:before="100" w:beforeAutospacing="1" w:after="100" w:afterAutospacing="1"/>
    </w:pPr>
  </w:style>
  <w:style w:type="paragraph" w:customStyle="1" w:styleId="HeadingLead-in">
    <w:name w:val="Heading Lead-in"/>
    <w:next w:val="2"/>
    <w:uiPriority w:val="99"/>
    <w:rsid w:val="00BD31FA"/>
    <w:pPr>
      <w:keepNext/>
      <w:spacing w:before="280"/>
    </w:pPr>
    <w:rPr>
      <w:rFonts w:ascii="Baskerville" w:hAnsi="Baskerville"/>
      <w:color w:val="B00000"/>
      <w:u w:color="B00000"/>
      <w:lang w:val="en-US" w:eastAsia="en-IE"/>
    </w:rPr>
  </w:style>
  <w:style w:type="paragraph" w:styleId="a3">
    <w:name w:val="Balloon Text"/>
    <w:basedOn w:val="a"/>
    <w:link w:val="Char"/>
    <w:uiPriority w:val="99"/>
    <w:semiHidden/>
    <w:rsid w:val="00127847"/>
    <w:rPr>
      <w:sz w:val="2"/>
      <w:szCs w:val="20"/>
    </w:rPr>
  </w:style>
  <w:style w:type="character" w:customStyle="1" w:styleId="Char">
    <w:name w:val="Κείμενο πλαισίου Char"/>
    <w:link w:val="a3"/>
    <w:uiPriority w:val="99"/>
    <w:semiHidden/>
    <w:locked/>
    <w:rsid w:val="006441DB"/>
    <w:rPr>
      <w:rFonts w:cs="Times New Roman"/>
      <w:sz w:val="2"/>
    </w:rPr>
  </w:style>
  <w:style w:type="paragraph" w:styleId="a4">
    <w:name w:val="header"/>
    <w:basedOn w:val="a"/>
    <w:link w:val="Char0"/>
    <w:uiPriority w:val="99"/>
    <w:rsid w:val="00B56FFD"/>
    <w:pPr>
      <w:tabs>
        <w:tab w:val="center" w:pos="4153"/>
        <w:tab w:val="right" w:pos="8306"/>
      </w:tabs>
    </w:pPr>
  </w:style>
  <w:style w:type="character" w:customStyle="1" w:styleId="Char0">
    <w:name w:val="Κεφαλίδα Char"/>
    <w:link w:val="a4"/>
    <w:uiPriority w:val="99"/>
    <w:semiHidden/>
    <w:locked/>
    <w:rsid w:val="006441DB"/>
    <w:rPr>
      <w:rFonts w:cs="Times New Roman"/>
      <w:sz w:val="24"/>
      <w:szCs w:val="24"/>
    </w:rPr>
  </w:style>
  <w:style w:type="paragraph" w:styleId="a5">
    <w:name w:val="footer"/>
    <w:basedOn w:val="a"/>
    <w:link w:val="Char1"/>
    <w:uiPriority w:val="99"/>
    <w:rsid w:val="00B56FFD"/>
    <w:pPr>
      <w:tabs>
        <w:tab w:val="center" w:pos="4153"/>
        <w:tab w:val="right" w:pos="8306"/>
      </w:tabs>
    </w:pPr>
  </w:style>
  <w:style w:type="character" w:customStyle="1" w:styleId="Char1">
    <w:name w:val="Υποσέλιδο Char"/>
    <w:link w:val="a5"/>
    <w:uiPriority w:val="99"/>
    <w:semiHidden/>
    <w:locked/>
    <w:rsid w:val="006441DB"/>
    <w:rPr>
      <w:rFonts w:cs="Times New Roman"/>
      <w:sz w:val="24"/>
      <w:szCs w:val="24"/>
    </w:rPr>
  </w:style>
  <w:style w:type="table" w:styleId="a6">
    <w:name w:val="Table Grid"/>
    <w:basedOn w:val="a1"/>
    <w:uiPriority w:val="99"/>
    <w:rsid w:val="00C4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rsid w:val="00C41D0F"/>
    <w:rPr>
      <w:sz w:val="20"/>
      <w:szCs w:val="20"/>
    </w:rPr>
  </w:style>
  <w:style w:type="character" w:customStyle="1" w:styleId="Char2">
    <w:name w:val="Κείμενο υποσημείωσης Char"/>
    <w:link w:val="a7"/>
    <w:uiPriority w:val="99"/>
    <w:semiHidden/>
    <w:locked/>
    <w:rsid w:val="006441DB"/>
    <w:rPr>
      <w:rFonts w:cs="Times New Roman"/>
      <w:sz w:val="20"/>
      <w:szCs w:val="20"/>
    </w:rPr>
  </w:style>
  <w:style w:type="character" w:styleId="a8">
    <w:name w:val="footnote reference"/>
    <w:uiPriority w:val="99"/>
    <w:semiHidden/>
    <w:rsid w:val="00C41D0F"/>
    <w:rPr>
      <w:rFonts w:cs="Times New Roman"/>
      <w:vertAlign w:val="superscript"/>
    </w:rPr>
  </w:style>
  <w:style w:type="character" w:styleId="a9">
    <w:name w:val="page number"/>
    <w:uiPriority w:val="99"/>
    <w:rsid w:val="000978F2"/>
    <w:rPr>
      <w:rFonts w:cs="Times New Roman"/>
    </w:rPr>
  </w:style>
  <w:style w:type="paragraph" w:styleId="aa">
    <w:name w:val="List Paragraph"/>
    <w:basedOn w:val="a"/>
    <w:uiPriority w:val="99"/>
    <w:qFormat/>
    <w:rsid w:val="00B53F29"/>
    <w:pPr>
      <w:ind w:left="720"/>
    </w:pPr>
  </w:style>
  <w:style w:type="paragraph" w:styleId="ab">
    <w:name w:val="Revision"/>
    <w:hidden/>
    <w:uiPriority w:val="99"/>
    <w:semiHidden/>
    <w:rsid w:val="009838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2D"/>
    <w:rPr>
      <w:sz w:val="24"/>
      <w:szCs w:val="24"/>
    </w:rPr>
  </w:style>
  <w:style w:type="paragraph" w:styleId="2">
    <w:name w:val="heading 2"/>
    <w:basedOn w:val="a"/>
    <w:next w:val="a"/>
    <w:link w:val="2Char"/>
    <w:uiPriority w:val="99"/>
    <w:qFormat/>
    <w:rsid w:val="00BD31F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6441DB"/>
    <w:rPr>
      <w:rFonts w:ascii="Cambria" w:hAnsi="Cambria" w:cs="Times New Roman"/>
      <w:b/>
      <w:bCs/>
      <w:i/>
      <w:iCs/>
      <w:sz w:val="28"/>
      <w:szCs w:val="28"/>
    </w:rPr>
  </w:style>
  <w:style w:type="character" w:styleId="-">
    <w:name w:val="Hyperlink"/>
    <w:uiPriority w:val="99"/>
    <w:rsid w:val="00BD31FA"/>
    <w:rPr>
      <w:rFonts w:cs="Times New Roman"/>
      <w:color w:val="0000FF"/>
      <w:u w:val="single"/>
    </w:rPr>
  </w:style>
  <w:style w:type="paragraph" w:styleId="Web">
    <w:name w:val="Normal (Web)"/>
    <w:basedOn w:val="a"/>
    <w:uiPriority w:val="99"/>
    <w:rsid w:val="00BD31FA"/>
    <w:pPr>
      <w:spacing w:before="100" w:beforeAutospacing="1" w:after="100" w:afterAutospacing="1"/>
    </w:pPr>
  </w:style>
  <w:style w:type="paragraph" w:customStyle="1" w:styleId="HeadingLead-in">
    <w:name w:val="Heading Lead-in"/>
    <w:next w:val="2"/>
    <w:uiPriority w:val="99"/>
    <w:rsid w:val="00BD31FA"/>
    <w:pPr>
      <w:keepNext/>
      <w:spacing w:before="280"/>
    </w:pPr>
    <w:rPr>
      <w:rFonts w:ascii="Baskerville" w:hAnsi="Baskerville"/>
      <w:color w:val="B00000"/>
      <w:u w:color="B00000"/>
      <w:lang w:val="en-US" w:eastAsia="en-IE"/>
    </w:rPr>
  </w:style>
  <w:style w:type="paragraph" w:styleId="a3">
    <w:name w:val="Balloon Text"/>
    <w:basedOn w:val="a"/>
    <w:link w:val="Char"/>
    <w:uiPriority w:val="99"/>
    <w:semiHidden/>
    <w:rsid w:val="00127847"/>
    <w:rPr>
      <w:sz w:val="2"/>
      <w:szCs w:val="20"/>
    </w:rPr>
  </w:style>
  <w:style w:type="character" w:customStyle="1" w:styleId="Char">
    <w:name w:val="Κείμενο πλαισίου Char"/>
    <w:link w:val="a3"/>
    <w:uiPriority w:val="99"/>
    <w:semiHidden/>
    <w:locked/>
    <w:rsid w:val="006441DB"/>
    <w:rPr>
      <w:rFonts w:cs="Times New Roman"/>
      <w:sz w:val="2"/>
    </w:rPr>
  </w:style>
  <w:style w:type="paragraph" w:styleId="a4">
    <w:name w:val="header"/>
    <w:basedOn w:val="a"/>
    <w:link w:val="Char0"/>
    <w:uiPriority w:val="99"/>
    <w:rsid w:val="00B56FFD"/>
    <w:pPr>
      <w:tabs>
        <w:tab w:val="center" w:pos="4153"/>
        <w:tab w:val="right" w:pos="8306"/>
      </w:tabs>
    </w:pPr>
  </w:style>
  <w:style w:type="character" w:customStyle="1" w:styleId="Char0">
    <w:name w:val="Κεφαλίδα Char"/>
    <w:link w:val="a4"/>
    <w:uiPriority w:val="99"/>
    <w:semiHidden/>
    <w:locked/>
    <w:rsid w:val="006441DB"/>
    <w:rPr>
      <w:rFonts w:cs="Times New Roman"/>
      <w:sz w:val="24"/>
      <w:szCs w:val="24"/>
    </w:rPr>
  </w:style>
  <w:style w:type="paragraph" w:styleId="a5">
    <w:name w:val="footer"/>
    <w:basedOn w:val="a"/>
    <w:link w:val="Char1"/>
    <w:uiPriority w:val="99"/>
    <w:rsid w:val="00B56FFD"/>
    <w:pPr>
      <w:tabs>
        <w:tab w:val="center" w:pos="4153"/>
        <w:tab w:val="right" w:pos="8306"/>
      </w:tabs>
    </w:pPr>
  </w:style>
  <w:style w:type="character" w:customStyle="1" w:styleId="Char1">
    <w:name w:val="Υποσέλιδο Char"/>
    <w:link w:val="a5"/>
    <w:uiPriority w:val="99"/>
    <w:semiHidden/>
    <w:locked/>
    <w:rsid w:val="006441DB"/>
    <w:rPr>
      <w:rFonts w:cs="Times New Roman"/>
      <w:sz w:val="24"/>
      <w:szCs w:val="24"/>
    </w:rPr>
  </w:style>
  <w:style w:type="table" w:styleId="a6">
    <w:name w:val="Table Grid"/>
    <w:basedOn w:val="a1"/>
    <w:uiPriority w:val="99"/>
    <w:rsid w:val="00C4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rsid w:val="00C41D0F"/>
    <w:rPr>
      <w:sz w:val="20"/>
      <w:szCs w:val="20"/>
    </w:rPr>
  </w:style>
  <w:style w:type="character" w:customStyle="1" w:styleId="Char2">
    <w:name w:val="Κείμενο υποσημείωσης Char"/>
    <w:link w:val="a7"/>
    <w:uiPriority w:val="99"/>
    <w:semiHidden/>
    <w:locked/>
    <w:rsid w:val="006441DB"/>
    <w:rPr>
      <w:rFonts w:cs="Times New Roman"/>
      <w:sz w:val="20"/>
      <w:szCs w:val="20"/>
    </w:rPr>
  </w:style>
  <w:style w:type="character" w:styleId="a8">
    <w:name w:val="footnote reference"/>
    <w:uiPriority w:val="99"/>
    <w:semiHidden/>
    <w:rsid w:val="00C41D0F"/>
    <w:rPr>
      <w:rFonts w:cs="Times New Roman"/>
      <w:vertAlign w:val="superscript"/>
    </w:rPr>
  </w:style>
  <w:style w:type="character" w:styleId="a9">
    <w:name w:val="page number"/>
    <w:uiPriority w:val="99"/>
    <w:rsid w:val="000978F2"/>
    <w:rPr>
      <w:rFonts w:cs="Times New Roman"/>
    </w:rPr>
  </w:style>
  <w:style w:type="paragraph" w:styleId="aa">
    <w:name w:val="List Paragraph"/>
    <w:basedOn w:val="a"/>
    <w:uiPriority w:val="99"/>
    <w:qFormat/>
    <w:rsid w:val="00B53F29"/>
    <w:pPr>
      <w:ind w:left="720"/>
    </w:pPr>
  </w:style>
  <w:style w:type="paragraph" w:styleId="ab">
    <w:name w:val="Revision"/>
    <w:hidden/>
    <w:uiPriority w:val="99"/>
    <w:semiHidden/>
    <w:rsid w:val="009838C1"/>
    <w:rPr>
      <w:sz w:val="24"/>
      <w:szCs w:val="24"/>
    </w:rPr>
  </w:style>
</w:styles>
</file>

<file path=word/webSettings.xml><?xml version="1.0" encoding="utf-8"?>
<w:webSettings xmlns:r="http://schemas.openxmlformats.org/officeDocument/2006/relationships" xmlns:w="http://schemas.openxmlformats.org/wordprocessingml/2006/main">
  <w:divs>
    <w:div w:id="686566530">
      <w:bodyDiv w:val="1"/>
      <w:marLeft w:val="0"/>
      <w:marRight w:val="0"/>
      <w:marTop w:val="0"/>
      <w:marBottom w:val="0"/>
      <w:divBdr>
        <w:top w:val="none" w:sz="0" w:space="0" w:color="auto"/>
        <w:left w:val="none" w:sz="0" w:space="0" w:color="auto"/>
        <w:bottom w:val="none" w:sz="0" w:space="0" w:color="auto"/>
        <w:right w:val="none" w:sz="0" w:space="0" w:color="auto"/>
      </w:divBdr>
    </w:div>
    <w:div w:id="1178544100">
      <w:marLeft w:val="0"/>
      <w:marRight w:val="0"/>
      <w:marTop w:val="0"/>
      <w:marBottom w:val="0"/>
      <w:divBdr>
        <w:top w:val="none" w:sz="0" w:space="0" w:color="auto"/>
        <w:left w:val="none" w:sz="0" w:space="0" w:color="auto"/>
        <w:bottom w:val="none" w:sz="0" w:space="0" w:color="auto"/>
        <w:right w:val="none" w:sz="0" w:space="0" w:color="auto"/>
      </w:divBdr>
    </w:div>
    <w:div w:id="1178544101">
      <w:marLeft w:val="0"/>
      <w:marRight w:val="0"/>
      <w:marTop w:val="0"/>
      <w:marBottom w:val="0"/>
      <w:divBdr>
        <w:top w:val="none" w:sz="0" w:space="0" w:color="auto"/>
        <w:left w:val="none" w:sz="0" w:space="0" w:color="auto"/>
        <w:bottom w:val="none" w:sz="0" w:space="0" w:color="auto"/>
        <w:right w:val="none" w:sz="0" w:space="0" w:color="auto"/>
      </w:divBdr>
    </w:div>
    <w:div w:id="1178544102">
      <w:marLeft w:val="0"/>
      <w:marRight w:val="0"/>
      <w:marTop w:val="0"/>
      <w:marBottom w:val="0"/>
      <w:divBdr>
        <w:top w:val="none" w:sz="0" w:space="0" w:color="auto"/>
        <w:left w:val="none" w:sz="0" w:space="0" w:color="auto"/>
        <w:bottom w:val="none" w:sz="0" w:space="0" w:color="auto"/>
        <w:right w:val="none" w:sz="0" w:space="0" w:color="auto"/>
      </w:divBdr>
    </w:div>
    <w:div w:id="1178544103">
      <w:marLeft w:val="0"/>
      <w:marRight w:val="0"/>
      <w:marTop w:val="0"/>
      <w:marBottom w:val="0"/>
      <w:divBdr>
        <w:top w:val="none" w:sz="0" w:space="0" w:color="auto"/>
        <w:left w:val="none" w:sz="0" w:space="0" w:color="auto"/>
        <w:bottom w:val="none" w:sz="0" w:space="0" w:color="auto"/>
        <w:right w:val="none" w:sz="0" w:space="0" w:color="auto"/>
      </w:divBdr>
    </w:div>
    <w:div w:id="1178544104">
      <w:marLeft w:val="0"/>
      <w:marRight w:val="0"/>
      <w:marTop w:val="0"/>
      <w:marBottom w:val="0"/>
      <w:divBdr>
        <w:top w:val="none" w:sz="0" w:space="0" w:color="auto"/>
        <w:left w:val="none" w:sz="0" w:space="0" w:color="auto"/>
        <w:bottom w:val="none" w:sz="0" w:space="0" w:color="auto"/>
        <w:right w:val="none" w:sz="0" w:space="0" w:color="auto"/>
      </w:divBdr>
    </w:div>
    <w:div w:id="1178544105">
      <w:marLeft w:val="0"/>
      <w:marRight w:val="0"/>
      <w:marTop w:val="0"/>
      <w:marBottom w:val="0"/>
      <w:divBdr>
        <w:top w:val="none" w:sz="0" w:space="0" w:color="auto"/>
        <w:left w:val="none" w:sz="0" w:space="0" w:color="auto"/>
        <w:bottom w:val="none" w:sz="0" w:space="0" w:color="auto"/>
        <w:right w:val="none" w:sz="0" w:space="0" w:color="auto"/>
      </w:divBdr>
    </w:div>
    <w:div w:id="1178544106">
      <w:marLeft w:val="0"/>
      <w:marRight w:val="0"/>
      <w:marTop w:val="0"/>
      <w:marBottom w:val="0"/>
      <w:divBdr>
        <w:top w:val="none" w:sz="0" w:space="0" w:color="auto"/>
        <w:left w:val="none" w:sz="0" w:space="0" w:color="auto"/>
        <w:bottom w:val="none" w:sz="0" w:space="0" w:color="auto"/>
        <w:right w:val="none" w:sz="0" w:space="0" w:color="auto"/>
      </w:divBdr>
    </w:div>
    <w:div w:id="1178544107">
      <w:marLeft w:val="0"/>
      <w:marRight w:val="0"/>
      <w:marTop w:val="0"/>
      <w:marBottom w:val="0"/>
      <w:divBdr>
        <w:top w:val="none" w:sz="0" w:space="0" w:color="auto"/>
        <w:left w:val="none" w:sz="0" w:space="0" w:color="auto"/>
        <w:bottom w:val="none" w:sz="0" w:space="0" w:color="auto"/>
        <w:right w:val="none" w:sz="0" w:space="0" w:color="auto"/>
      </w:divBdr>
    </w:div>
    <w:div w:id="1178544108">
      <w:marLeft w:val="0"/>
      <w:marRight w:val="0"/>
      <w:marTop w:val="0"/>
      <w:marBottom w:val="0"/>
      <w:divBdr>
        <w:top w:val="none" w:sz="0" w:space="0" w:color="auto"/>
        <w:left w:val="none" w:sz="0" w:space="0" w:color="auto"/>
        <w:bottom w:val="none" w:sz="0" w:space="0" w:color="auto"/>
        <w:right w:val="none" w:sz="0" w:space="0" w:color="auto"/>
      </w:divBdr>
      <w:divsChild>
        <w:div w:id="1178544118">
          <w:marLeft w:val="547"/>
          <w:marRight w:val="0"/>
          <w:marTop w:val="77"/>
          <w:marBottom w:val="0"/>
          <w:divBdr>
            <w:top w:val="none" w:sz="0" w:space="0" w:color="auto"/>
            <w:left w:val="none" w:sz="0" w:space="0" w:color="auto"/>
            <w:bottom w:val="none" w:sz="0" w:space="0" w:color="auto"/>
            <w:right w:val="none" w:sz="0" w:space="0" w:color="auto"/>
          </w:divBdr>
        </w:div>
      </w:divsChild>
    </w:div>
    <w:div w:id="1178544109">
      <w:marLeft w:val="0"/>
      <w:marRight w:val="0"/>
      <w:marTop w:val="0"/>
      <w:marBottom w:val="0"/>
      <w:divBdr>
        <w:top w:val="none" w:sz="0" w:space="0" w:color="auto"/>
        <w:left w:val="none" w:sz="0" w:space="0" w:color="auto"/>
        <w:bottom w:val="none" w:sz="0" w:space="0" w:color="auto"/>
        <w:right w:val="none" w:sz="0" w:space="0" w:color="auto"/>
      </w:divBdr>
    </w:div>
    <w:div w:id="1178544110">
      <w:marLeft w:val="0"/>
      <w:marRight w:val="0"/>
      <w:marTop w:val="0"/>
      <w:marBottom w:val="0"/>
      <w:divBdr>
        <w:top w:val="none" w:sz="0" w:space="0" w:color="auto"/>
        <w:left w:val="none" w:sz="0" w:space="0" w:color="auto"/>
        <w:bottom w:val="none" w:sz="0" w:space="0" w:color="auto"/>
        <w:right w:val="none" w:sz="0" w:space="0" w:color="auto"/>
      </w:divBdr>
      <w:divsChild>
        <w:div w:id="1178544121">
          <w:marLeft w:val="0"/>
          <w:marRight w:val="0"/>
          <w:marTop w:val="0"/>
          <w:marBottom w:val="0"/>
          <w:divBdr>
            <w:top w:val="none" w:sz="0" w:space="0" w:color="auto"/>
            <w:left w:val="none" w:sz="0" w:space="0" w:color="auto"/>
            <w:bottom w:val="none" w:sz="0" w:space="0" w:color="auto"/>
            <w:right w:val="none" w:sz="0" w:space="0" w:color="auto"/>
          </w:divBdr>
        </w:div>
      </w:divsChild>
    </w:div>
    <w:div w:id="1178544111">
      <w:marLeft w:val="0"/>
      <w:marRight w:val="0"/>
      <w:marTop w:val="0"/>
      <w:marBottom w:val="0"/>
      <w:divBdr>
        <w:top w:val="none" w:sz="0" w:space="0" w:color="auto"/>
        <w:left w:val="none" w:sz="0" w:space="0" w:color="auto"/>
        <w:bottom w:val="none" w:sz="0" w:space="0" w:color="auto"/>
        <w:right w:val="none" w:sz="0" w:space="0" w:color="auto"/>
      </w:divBdr>
    </w:div>
    <w:div w:id="1178544112">
      <w:marLeft w:val="0"/>
      <w:marRight w:val="0"/>
      <w:marTop w:val="0"/>
      <w:marBottom w:val="0"/>
      <w:divBdr>
        <w:top w:val="none" w:sz="0" w:space="0" w:color="auto"/>
        <w:left w:val="none" w:sz="0" w:space="0" w:color="auto"/>
        <w:bottom w:val="none" w:sz="0" w:space="0" w:color="auto"/>
        <w:right w:val="none" w:sz="0" w:space="0" w:color="auto"/>
      </w:divBdr>
    </w:div>
    <w:div w:id="1178544114">
      <w:marLeft w:val="0"/>
      <w:marRight w:val="0"/>
      <w:marTop w:val="0"/>
      <w:marBottom w:val="0"/>
      <w:divBdr>
        <w:top w:val="none" w:sz="0" w:space="0" w:color="auto"/>
        <w:left w:val="none" w:sz="0" w:space="0" w:color="auto"/>
        <w:bottom w:val="none" w:sz="0" w:space="0" w:color="auto"/>
        <w:right w:val="none" w:sz="0" w:space="0" w:color="auto"/>
      </w:divBdr>
    </w:div>
    <w:div w:id="1178544115">
      <w:marLeft w:val="0"/>
      <w:marRight w:val="0"/>
      <w:marTop w:val="0"/>
      <w:marBottom w:val="0"/>
      <w:divBdr>
        <w:top w:val="none" w:sz="0" w:space="0" w:color="auto"/>
        <w:left w:val="none" w:sz="0" w:space="0" w:color="auto"/>
        <w:bottom w:val="none" w:sz="0" w:space="0" w:color="auto"/>
        <w:right w:val="none" w:sz="0" w:space="0" w:color="auto"/>
      </w:divBdr>
    </w:div>
    <w:div w:id="1178544116">
      <w:marLeft w:val="0"/>
      <w:marRight w:val="0"/>
      <w:marTop w:val="0"/>
      <w:marBottom w:val="0"/>
      <w:divBdr>
        <w:top w:val="none" w:sz="0" w:space="0" w:color="auto"/>
        <w:left w:val="none" w:sz="0" w:space="0" w:color="auto"/>
        <w:bottom w:val="none" w:sz="0" w:space="0" w:color="auto"/>
        <w:right w:val="none" w:sz="0" w:space="0" w:color="auto"/>
      </w:divBdr>
    </w:div>
    <w:div w:id="1178544117">
      <w:marLeft w:val="0"/>
      <w:marRight w:val="0"/>
      <w:marTop w:val="0"/>
      <w:marBottom w:val="0"/>
      <w:divBdr>
        <w:top w:val="none" w:sz="0" w:space="0" w:color="auto"/>
        <w:left w:val="none" w:sz="0" w:space="0" w:color="auto"/>
        <w:bottom w:val="none" w:sz="0" w:space="0" w:color="auto"/>
        <w:right w:val="none" w:sz="0" w:space="0" w:color="auto"/>
      </w:divBdr>
    </w:div>
    <w:div w:id="1178544119">
      <w:marLeft w:val="0"/>
      <w:marRight w:val="0"/>
      <w:marTop w:val="0"/>
      <w:marBottom w:val="0"/>
      <w:divBdr>
        <w:top w:val="none" w:sz="0" w:space="0" w:color="auto"/>
        <w:left w:val="none" w:sz="0" w:space="0" w:color="auto"/>
        <w:bottom w:val="none" w:sz="0" w:space="0" w:color="auto"/>
        <w:right w:val="none" w:sz="0" w:space="0" w:color="auto"/>
      </w:divBdr>
      <w:divsChild>
        <w:div w:id="1178544124">
          <w:marLeft w:val="0"/>
          <w:marRight w:val="0"/>
          <w:marTop w:val="0"/>
          <w:marBottom w:val="0"/>
          <w:divBdr>
            <w:top w:val="none" w:sz="0" w:space="0" w:color="auto"/>
            <w:left w:val="none" w:sz="0" w:space="0" w:color="auto"/>
            <w:bottom w:val="none" w:sz="0" w:space="0" w:color="auto"/>
            <w:right w:val="none" w:sz="0" w:space="0" w:color="auto"/>
          </w:divBdr>
        </w:div>
      </w:divsChild>
    </w:div>
    <w:div w:id="1178544120">
      <w:marLeft w:val="0"/>
      <w:marRight w:val="0"/>
      <w:marTop w:val="0"/>
      <w:marBottom w:val="0"/>
      <w:divBdr>
        <w:top w:val="none" w:sz="0" w:space="0" w:color="auto"/>
        <w:left w:val="none" w:sz="0" w:space="0" w:color="auto"/>
        <w:bottom w:val="none" w:sz="0" w:space="0" w:color="auto"/>
        <w:right w:val="none" w:sz="0" w:space="0" w:color="auto"/>
      </w:divBdr>
    </w:div>
    <w:div w:id="1178544122">
      <w:marLeft w:val="0"/>
      <w:marRight w:val="0"/>
      <w:marTop w:val="0"/>
      <w:marBottom w:val="0"/>
      <w:divBdr>
        <w:top w:val="none" w:sz="0" w:space="0" w:color="auto"/>
        <w:left w:val="none" w:sz="0" w:space="0" w:color="auto"/>
        <w:bottom w:val="none" w:sz="0" w:space="0" w:color="auto"/>
        <w:right w:val="none" w:sz="0" w:space="0" w:color="auto"/>
      </w:divBdr>
      <w:divsChild>
        <w:div w:id="1178544113">
          <w:marLeft w:val="0"/>
          <w:marRight w:val="0"/>
          <w:marTop w:val="0"/>
          <w:marBottom w:val="0"/>
          <w:divBdr>
            <w:top w:val="none" w:sz="0" w:space="0" w:color="auto"/>
            <w:left w:val="none" w:sz="0" w:space="0" w:color="auto"/>
            <w:bottom w:val="none" w:sz="0" w:space="0" w:color="auto"/>
            <w:right w:val="none" w:sz="0" w:space="0" w:color="auto"/>
          </w:divBdr>
        </w:div>
      </w:divsChild>
    </w:div>
    <w:div w:id="1178544123">
      <w:marLeft w:val="0"/>
      <w:marRight w:val="0"/>
      <w:marTop w:val="0"/>
      <w:marBottom w:val="0"/>
      <w:divBdr>
        <w:top w:val="none" w:sz="0" w:space="0" w:color="auto"/>
        <w:left w:val="none" w:sz="0" w:space="0" w:color="auto"/>
        <w:bottom w:val="none" w:sz="0" w:space="0" w:color="auto"/>
        <w:right w:val="none" w:sz="0" w:space="0" w:color="auto"/>
      </w:divBdr>
    </w:div>
    <w:div w:id="1178544125">
      <w:marLeft w:val="0"/>
      <w:marRight w:val="0"/>
      <w:marTop w:val="0"/>
      <w:marBottom w:val="0"/>
      <w:divBdr>
        <w:top w:val="none" w:sz="0" w:space="0" w:color="auto"/>
        <w:left w:val="none" w:sz="0" w:space="0" w:color="auto"/>
        <w:bottom w:val="none" w:sz="0" w:space="0" w:color="auto"/>
        <w:right w:val="none" w:sz="0" w:space="0" w:color="auto"/>
      </w:divBdr>
    </w:div>
    <w:div w:id="1178544126">
      <w:marLeft w:val="0"/>
      <w:marRight w:val="0"/>
      <w:marTop w:val="0"/>
      <w:marBottom w:val="0"/>
      <w:divBdr>
        <w:top w:val="none" w:sz="0" w:space="0" w:color="auto"/>
        <w:left w:val="none" w:sz="0" w:space="0" w:color="auto"/>
        <w:bottom w:val="none" w:sz="0" w:space="0" w:color="auto"/>
        <w:right w:val="none" w:sz="0" w:space="0" w:color="auto"/>
      </w:divBdr>
    </w:div>
    <w:div w:id="1178544127">
      <w:marLeft w:val="0"/>
      <w:marRight w:val="0"/>
      <w:marTop w:val="0"/>
      <w:marBottom w:val="0"/>
      <w:divBdr>
        <w:top w:val="none" w:sz="0" w:space="0" w:color="auto"/>
        <w:left w:val="none" w:sz="0" w:space="0" w:color="auto"/>
        <w:bottom w:val="none" w:sz="0" w:space="0" w:color="auto"/>
        <w:right w:val="none" w:sz="0" w:space="0" w:color="auto"/>
      </w:divBdr>
    </w:div>
    <w:div w:id="1178544128">
      <w:marLeft w:val="0"/>
      <w:marRight w:val="0"/>
      <w:marTop w:val="0"/>
      <w:marBottom w:val="0"/>
      <w:divBdr>
        <w:top w:val="none" w:sz="0" w:space="0" w:color="auto"/>
        <w:left w:val="none" w:sz="0" w:space="0" w:color="auto"/>
        <w:bottom w:val="none" w:sz="0" w:space="0" w:color="auto"/>
        <w:right w:val="none" w:sz="0" w:space="0" w:color="auto"/>
      </w:divBdr>
    </w:div>
    <w:div w:id="117854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hyperlink" Target="mailto:info@imegsevee.gr"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imegsevee.gr"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Office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______________Microsoft_Office_Excel11.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__________Microsoft_Office_Excel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_____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38"/>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9675528140129476"/>
          <c:y val="3.5996953271471156E-2"/>
          <c:w val="0.62309141231334653"/>
          <c:h val="0.89818350664436264"/>
        </c:manualLayout>
      </c:layout>
      <c:bar3DChart>
        <c:barDir val="bar"/>
        <c:grouping val="stacked"/>
        <c:ser>
          <c:idx val="1"/>
          <c:order val="0"/>
          <c:tx>
            <c:strRef>
              <c:f>Sheet1!$A$2</c:f>
              <c:strCache>
                <c:ptCount val="1"/>
                <c:pt idx="0">
                  <c:v>Αύξηση</c:v>
                </c:pt>
              </c:strCache>
            </c:strRef>
          </c:tx>
          <c:spPr>
            <a:gradFill rotWithShape="0">
              <a:gsLst>
                <a:gs pos="0">
                  <a:srgbClr val="008000"/>
                </a:gs>
                <a:gs pos="100000">
                  <a:srgbClr val="FEFEFE">
                    <a:gamma/>
                    <a:tint val="63922"/>
                    <a:invGamma/>
                  </a:srgbClr>
                </a:gs>
              </a:gsLst>
              <a:lin ang="2700000" scaled="1"/>
            </a:gradFill>
            <a:ln w="25400">
              <a:noFill/>
            </a:ln>
          </c:spPr>
          <c:dLbls>
            <c:dLbl>
              <c:idx val="0"/>
              <c:layout>
                <c:manualLayout>
                  <c:x val="-8.4650835968338889E-5"/>
                  <c:y val="9.5326268654458719E-3"/>
                </c:manualLayout>
              </c:layout>
              <c:showVal val="1"/>
            </c:dLbl>
            <c:dLbl>
              <c:idx val="1"/>
              <c:layout>
                <c:manualLayout>
                  <c:x val="8.3468023793710673E-4"/>
                  <c:y val="9.7001095626666721E-3"/>
                </c:manualLayout>
              </c:layout>
              <c:showVal val="1"/>
            </c:dLbl>
            <c:dLbl>
              <c:idx val="2"/>
              <c:layout>
                <c:manualLayout>
                  <c:x val="1.3830138538528812E-3"/>
                  <c:y val="9.1363204878063872E-3"/>
                </c:manualLayout>
              </c:layout>
              <c:showVal val="1"/>
            </c:dLbl>
            <c:dLbl>
              <c:idx val="3"/>
              <c:layout>
                <c:manualLayout>
                  <c:x val="-2.9620339870048652E-3"/>
                  <c:y val="2.0271154716296029E-3"/>
                </c:manualLayout>
              </c:layout>
              <c:showVal val="1"/>
            </c:dLbl>
            <c:dLbl>
              <c:idx val="4"/>
              <c:layout>
                <c:manualLayout>
                  <c:x val="4.5308908316006088E-3"/>
                  <c:y val="-3.006273828333962E-3"/>
                </c:manualLayout>
              </c:layout>
              <c:showVal val="1"/>
            </c:dLbl>
            <c:numFmt formatCode="0.0" sourceLinked="0"/>
            <c:spPr>
              <a:noFill/>
              <a:ln w="25400">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Sheet1!$B$2:$H$2</c:f>
              <c:numCache>
                <c:formatCode>General</c:formatCode>
                <c:ptCount val="7"/>
                <c:pt idx="0">
                  <c:v>7.9</c:v>
                </c:pt>
                <c:pt idx="1">
                  <c:v>8.6</c:v>
                </c:pt>
                <c:pt idx="2">
                  <c:v>5.4</c:v>
                </c:pt>
                <c:pt idx="3">
                  <c:v>6.5</c:v>
                </c:pt>
                <c:pt idx="4">
                  <c:v>4.9000000000000004</c:v>
                </c:pt>
                <c:pt idx="5">
                  <c:v>5.7</c:v>
                </c:pt>
                <c:pt idx="6">
                  <c:v>4.8</c:v>
                </c:pt>
              </c:numCache>
            </c:numRef>
          </c:val>
        </c:ser>
        <c:ser>
          <c:idx val="0"/>
          <c:order val="1"/>
          <c:tx>
            <c:strRef>
              <c:f>Sheet1!$A$3</c:f>
              <c:strCache>
                <c:ptCount val="1"/>
                <c:pt idx="0">
                  <c:v>Μείωση</c:v>
                </c:pt>
              </c:strCache>
            </c:strRef>
          </c:tx>
          <c:spPr>
            <a:gradFill rotWithShape="0">
              <a:gsLst>
                <a:gs pos="0">
                  <a:srgbClr val="020000">
                    <a:gamma/>
                    <a:shade val="76078"/>
                    <a:invGamma/>
                  </a:srgbClr>
                </a:gs>
                <a:gs pos="100000">
                  <a:srgbClr val="FF0000"/>
                </a:gs>
              </a:gsLst>
              <a:lin ang="2700000" scaled="1"/>
            </a:gradFill>
            <a:ln w="25400">
              <a:noFill/>
            </a:ln>
          </c:spPr>
          <c:dLbls>
            <c:numFmt formatCode="0.0" sourceLinked="0"/>
            <c:spPr>
              <a:noFill/>
              <a:ln w="25400">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Sheet1!$B$3:$H$3</c:f>
              <c:numCache>
                <c:formatCode>General</c:formatCode>
                <c:ptCount val="7"/>
                <c:pt idx="0">
                  <c:v>74.8</c:v>
                </c:pt>
                <c:pt idx="1">
                  <c:v>75.400000000000006</c:v>
                </c:pt>
                <c:pt idx="2">
                  <c:v>81.7</c:v>
                </c:pt>
                <c:pt idx="3">
                  <c:v>77.099999999999994</c:v>
                </c:pt>
                <c:pt idx="4">
                  <c:v>49.8</c:v>
                </c:pt>
                <c:pt idx="5">
                  <c:v>43.4</c:v>
                </c:pt>
                <c:pt idx="6">
                  <c:v>11</c:v>
                </c:pt>
              </c:numCache>
            </c:numRef>
          </c:val>
        </c:ser>
        <c:ser>
          <c:idx val="2"/>
          <c:order val="2"/>
          <c:tx>
            <c:strRef>
              <c:f>Sheet1!$A$4</c:f>
              <c:strCache>
                <c:ptCount val="1"/>
                <c:pt idx="0">
                  <c:v>Χωρίς μεταβολή</c:v>
                </c:pt>
              </c:strCache>
            </c:strRef>
          </c:tx>
          <c:spPr>
            <a:gradFill rotWithShape="0">
              <a:gsLst>
                <a:gs pos="0">
                  <a:srgbClr val="C0C0C0"/>
                </a:gs>
                <a:gs pos="100000">
                  <a:srgbClr val="FFFFFF">
                    <a:gamma/>
                    <a:tint val="33725"/>
                    <a:invGamma/>
                  </a:srgbClr>
                </a:gs>
              </a:gsLst>
              <a:lin ang="2700000" scaled="1"/>
            </a:gradFill>
            <a:ln w="25400">
              <a:noFill/>
            </a:ln>
          </c:spPr>
          <c:dLbls>
            <c:dLbl>
              <c:idx val="0"/>
              <c:layout>
                <c:manualLayout>
                  <c:x val="-9.4002353043284078E-3"/>
                  <c:y val="3.3675317273075033E-3"/>
                </c:manualLayout>
              </c:layout>
              <c:showVal val="1"/>
            </c:dLbl>
            <c:dLbl>
              <c:idx val="3"/>
              <c:layout>
                <c:manualLayout>
                  <c:x val="-7.912523446142088E-3"/>
                  <c:y val="6.5449005948129465E-4"/>
                </c:manualLayout>
              </c:layout>
              <c:showVal val="1"/>
            </c:dLbl>
            <c:spPr>
              <a:noFill/>
              <a:ln w="25400">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Sheet1!$B$4:$H$4</c:f>
              <c:numCache>
                <c:formatCode>General</c:formatCode>
                <c:ptCount val="7"/>
                <c:pt idx="0">
                  <c:v>16.600000000000001</c:v>
                </c:pt>
                <c:pt idx="1">
                  <c:v>15.7</c:v>
                </c:pt>
                <c:pt idx="2">
                  <c:v>12.3</c:v>
                </c:pt>
                <c:pt idx="3">
                  <c:v>14.1</c:v>
                </c:pt>
                <c:pt idx="4">
                  <c:v>42.8</c:v>
                </c:pt>
                <c:pt idx="5">
                  <c:v>50.1</c:v>
                </c:pt>
                <c:pt idx="6">
                  <c:v>82.6</c:v>
                </c:pt>
              </c:numCache>
            </c:numRef>
          </c:val>
        </c:ser>
        <c:ser>
          <c:idx val="3"/>
          <c:order val="3"/>
          <c:tx>
            <c:strRef>
              <c:f>Sheet1!$A$5</c:f>
              <c:strCache>
                <c:ptCount val="1"/>
                <c:pt idx="0">
                  <c:v>ΔΑ</c:v>
                </c:pt>
              </c:strCache>
            </c:strRef>
          </c:tx>
          <c:spPr>
            <a:gradFill rotWithShape="0">
              <a:gsLst>
                <a:gs pos="0">
                  <a:srgbClr val="D1C39F"/>
                </a:gs>
                <a:gs pos="35001">
                  <a:srgbClr val="F0EBD5"/>
                </a:gs>
                <a:gs pos="100000">
                  <a:srgbClr val="FFEFD1"/>
                </a:gs>
              </a:gsLst>
              <a:lin ang="2700000" scaled="1"/>
            </a:gradFill>
            <a:ln w="25400">
              <a:noFill/>
            </a:ln>
          </c:spPr>
          <c:dLbls>
            <c:dLbl>
              <c:idx val="0"/>
              <c:layout>
                <c:manualLayout>
                  <c:x val="1.5390445314974041E-2"/>
                  <c:y val="4.468054185593084E-4"/>
                </c:manualLayout>
              </c:layout>
              <c:showVal val="1"/>
            </c:dLbl>
            <c:dLbl>
              <c:idx val="1"/>
              <c:layout>
                <c:manualLayout>
                  <c:x val="2.4473521487531218E-2"/>
                  <c:y val="1.2553840825956148E-3"/>
                </c:manualLayout>
              </c:layout>
              <c:showVal val="1"/>
            </c:dLbl>
            <c:dLbl>
              <c:idx val="2"/>
              <c:layout>
                <c:manualLayout>
                  <c:x val="1.9998125437888557E-2"/>
                  <c:y val="9.1363204878063872E-3"/>
                </c:manualLayout>
              </c:layout>
              <c:showVal val="1"/>
            </c:dLbl>
            <c:dLbl>
              <c:idx val="3"/>
              <c:layout>
                <c:manualLayout>
                  <c:x val="3.2780638644920729E-2"/>
                  <c:y val="-6.5449005948129994E-3"/>
                </c:manualLayout>
              </c:layout>
              <c:showVal val="1"/>
            </c:dLbl>
            <c:dLbl>
              <c:idx val="4"/>
              <c:layout>
                <c:manualLayout>
                  <c:x val="2.9610176581492422E-2"/>
                  <c:y val="3.5386267664789845E-3"/>
                </c:manualLayout>
              </c:layout>
              <c:showVal val="1"/>
            </c:dLbl>
            <c:dLbl>
              <c:idx val="5"/>
              <c:layout>
                <c:manualLayout>
                  <c:x val="1.0334612563341056E-2"/>
                  <c:y val="6.5984966311799119E-3"/>
                </c:manualLayout>
              </c:layout>
              <c:showVal val="1"/>
            </c:dLbl>
            <c:dLbl>
              <c:idx val="6"/>
              <c:layout>
                <c:manualLayout>
                  <c:x val="1.8802890439265446E-2"/>
                  <c:y val="6.0347075563196434E-3"/>
                </c:manualLayout>
              </c:layout>
              <c:showVal val="1"/>
            </c:dLbl>
            <c:spPr>
              <a:noFill/>
              <a:ln w="25400">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Sheet1!$B$5:$H$5</c:f>
              <c:numCache>
                <c:formatCode>General</c:formatCode>
                <c:ptCount val="7"/>
                <c:pt idx="0">
                  <c:v>0.70000000000000062</c:v>
                </c:pt>
                <c:pt idx="1">
                  <c:v>0.30000000000000032</c:v>
                </c:pt>
                <c:pt idx="2">
                  <c:v>0.60000000000000064</c:v>
                </c:pt>
                <c:pt idx="3">
                  <c:v>2.2999999999999998</c:v>
                </c:pt>
                <c:pt idx="4">
                  <c:v>2.5</c:v>
                </c:pt>
                <c:pt idx="5">
                  <c:v>0.8</c:v>
                </c:pt>
                <c:pt idx="6">
                  <c:v>1.6</c:v>
                </c:pt>
              </c:numCache>
            </c:numRef>
          </c:val>
        </c:ser>
        <c:dLbls>
          <c:showVal val="1"/>
        </c:dLbls>
        <c:gapWidth val="70"/>
        <c:gapDepth val="0"/>
        <c:shape val="box"/>
        <c:axId val="22778624"/>
        <c:axId val="22780160"/>
        <c:axId val="0"/>
      </c:bar3DChart>
      <c:catAx>
        <c:axId val="22778624"/>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22780160"/>
        <c:crosses val="autoZero"/>
        <c:auto val="1"/>
        <c:lblAlgn val="ctr"/>
        <c:lblOffset val="100"/>
        <c:tickLblSkip val="1"/>
        <c:tickMarkSkip val="1"/>
      </c:catAx>
      <c:valAx>
        <c:axId val="22780160"/>
        <c:scaling>
          <c:orientation val="minMax"/>
          <c:max val="100"/>
          <c:min val="0"/>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l-GR"/>
          </a:p>
        </c:txPr>
        <c:crossAx val="22778624"/>
        <c:crosses val="max"/>
        <c:crossBetween val="between"/>
      </c:valAx>
      <c:spPr>
        <a:noFill/>
        <a:ln w="25400">
          <a:noFill/>
        </a:ln>
      </c:spPr>
    </c:plotArea>
    <c:legend>
      <c:legendPos val="r"/>
      <c:layout>
        <c:manualLayout>
          <c:xMode val="edge"/>
          <c:yMode val="edge"/>
          <c:x val="0.18726591760299663"/>
          <c:y val="4.4827586206896669E-2"/>
          <c:w val="0.797752808988764"/>
          <c:h val="3.1034482758620745E-2"/>
        </c:manualLayout>
      </c:layout>
      <c:spPr>
        <a:noFill/>
        <a:ln w="25400">
          <a:noFill/>
        </a:ln>
      </c:spPr>
      <c:txPr>
        <a:bodyPr/>
        <a:lstStyle/>
        <a:p>
          <a:pPr>
            <a:defRPr sz="825" b="1" i="0" u="none" strike="noStrike" baseline="0">
              <a:solidFill>
                <a:srgbClr val="000000"/>
              </a:solidFill>
              <a:latin typeface="Tahoma"/>
              <a:ea typeface="Tahoma"/>
              <a:cs typeface="Tahoma"/>
            </a:defRPr>
          </a:pPr>
          <a:endParaRPr lang="el-GR"/>
        </a:p>
      </c:txPr>
    </c:legend>
    <c:plotVisOnly val="1"/>
    <c:dispBlanksAs val="gap"/>
  </c:chart>
  <c:spPr>
    <a:noFill/>
    <a:ln>
      <a:noFill/>
    </a:ln>
  </c:spPr>
  <c:txPr>
    <a:bodyPr/>
    <a:lstStyle/>
    <a:p>
      <a:pPr>
        <a:defRPr sz="2075" b="1" i="0" u="none" strike="noStrike" baseline="0">
          <a:solidFill>
            <a:srgbClr val="000000"/>
          </a:solidFill>
          <a:latin typeface="Times New Roman"/>
          <a:ea typeface="Times New Roman"/>
          <a:cs typeface="Times New Roman"/>
        </a:defRPr>
      </a:pPr>
      <a:endParaRPr lang="el-G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18"/>
  <c:chart>
    <c:title>
      <c:txPr>
        <a:bodyPr/>
        <a:lstStyle/>
        <a:p>
          <a:pPr>
            <a:defRPr sz="1800" b="1" i="0" u="none" strike="noStrike" baseline="0">
              <a:solidFill>
                <a:srgbClr val="000000"/>
              </a:solidFill>
              <a:latin typeface="Calibri"/>
              <a:ea typeface="Calibri"/>
              <a:cs typeface="Calibri"/>
            </a:defRPr>
          </a:pPr>
          <a:endParaRPr lang="el-GR"/>
        </a:p>
      </c:txPr>
    </c:title>
    <c:view3D>
      <c:rotY val="40"/>
      <c:perspective val="0"/>
    </c:view3D>
    <c:plotArea>
      <c:layout>
        <c:manualLayout>
          <c:layoutTarget val="inner"/>
          <c:xMode val="edge"/>
          <c:yMode val="edge"/>
          <c:x val="7.7534791252485205E-2"/>
          <c:y val="0.29573934837092725"/>
          <c:w val="0.81510934393638168"/>
          <c:h val="0.40852130325814584"/>
        </c:manualLayout>
      </c:layout>
      <c:pie3DChart>
        <c:varyColors val="1"/>
        <c:ser>
          <c:idx val="0"/>
          <c:order val="0"/>
          <c:tx>
            <c:strRef>
              <c:f>Sheet1!$A$2</c:f>
              <c:strCache>
                <c:ptCount val="1"/>
              </c:strCache>
            </c:strRef>
          </c:tx>
          <c:dPt>
            <c:idx val="0"/>
            <c:spPr>
              <a:solidFill>
                <a:schemeClr val="accent3">
                  <a:lumMod val="75000"/>
                </a:schemeClr>
              </a:solidFill>
              <a:ln>
                <a:solidFill>
                  <a:schemeClr val="accent3">
                    <a:lumMod val="75000"/>
                  </a:schemeClr>
                </a:solidFill>
              </a:ln>
              <a:effectLst>
                <a:outerShdw blurRad="40000" dist="23000" dir="5400000" rotWithShape="0">
                  <a:schemeClr val="accent3">
                    <a:lumMod val="50000"/>
                    <a:alpha val="35000"/>
                  </a:schemeClr>
                </a:outerShdw>
              </a:effectLst>
            </c:spPr>
          </c:dPt>
          <c:dPt>
            <c:idx val="2"/>
            <c:spPr>
              <a:solidFill>
                <a:schemeClr val="bg1">
                  <a:lumMod val="50000"/>
                </a:schemeClr>
              </a:solidFill>
              <a:ln>
                <a:solidFill>
                  <a:schemeClr val="bg1">
                    <a:lumMod val="50000"/>
                  </a:schemeClr>
                </a:solidFill>
              </a:ln>
            </c:spPr>
          </c:dPt>
          <c:dLbls>
            <c:dLbl>
              <c:idx val="0"/>
              <c:layout>
                <c:manualLayout>
                  <c:x val="-5.5795828702326723E-2"/>
                  <c:y val="1.7319150895611739E-2"/>
                </c:manualLayout>
              </c:layout>
              <c:dLblPos val="bestFit"/>
              <c:showCatName val="1"/>
              <c:showPercent val="1"/>
            </c:dLbl>
            <c:dLbl>
              <c:idx val="1"/>
              <c:layout>
                <c:manualLayout>
                  <c:x val="5.3130247387068674E-2"/>
                  <c:y val="-3.5985764937277578E-2"/>
                </c:manualLayout>
              </c:layout>
              <c:dLblPos val="bestFit"/>
              <c:showCatName val="1"/>
              <c:showPercent val="1"/>
            </c:dLbl>
            <c:dLbl>
              <c:idx val="2"/>
              <c:layout>
                <c:manualLayout>
                  <c:x val="-4.6530058494179245E-2"/>
                  <c:y val="-4.1708733776698967E-2"/>
                </c:manualLayout>
              </c:layout>
              <c:dLblPos val="bestFit"/>
              <c:showCatName val="1"/>
              <c:showPercent val="1"/>
            </c:dLbl>
            <c:dLbl>
              <c:idx val="3"/>
              <c:layout>
                <c:manualLayout>
                  <c:x val="-1.8555334658714381E-2"/>
                  <c:y val="-3.6758563074352581E-2"/>
                </c:manualLayout>
              </c:layout>
              <c:dLblPos val="bestFit"/>
              <c:showCatName val="1"/>
              <c:showPercent val="1"/>
            </c:dLbl>
            <c:dLbl>
              <c:idx val="4"/>
              <c:delete val="1"/>
            </c:dLbl>
            <c:dLbl>
              <c:idx val="5"/>
              <c:layout>
                <c:manualLayout>
                  <c:x val="8.3460979678224839E-3"/>
                  <c:y val="-3.848097112860898E-2"/>
                </c:manualLayout>
              </c:layout>
              <c:dLblPos val="bestFit"/>
              <c:showCatName val="1"/>
              <c:showPercent val="1"/>
            </c:dLbl>
            <c:numFmt formatCode="0.0%" sourceLinked="0"/>
            <c:txPr>
              <a:bodyPr/>
              <a:lstStyle/>
              <a:p>
                <a:pPr>
                  <a:defRPr sz="800" b="1" i="0" u="none" strike="noStrike" baseline="0">
                    <a:solidFill>
                      <a:srgbClr val="000000"/>
                    </a:solidFill>
                    <a:latin typeface="Tahoma"/>
                    <a:ea typeface="Tahoma"/>
                    <a:cs typeface="Tahoma"/>
                  </a:defRPr>
                </a:pPr>
                <a:endParaRPr lang="el-GR"/>
              </a:p>
            </c:txPr>
            <c:showCatName val="1"/>
            <c:showPercent val="1"/>
          </c:dLbls>
          <c:cat>
            <c:strRef>
              <c:f>Sheet1!$B$1:$D$1</c:f>
              <c:strCache>
                <c:ptCount val="3"/>
                <c:pt idx="0">
                  <c:v>Υπέρ</c:v>
                </c:pt>
                <c:pt idx="1">
                  <c:v>Κατά</c:v>
                </c:pt>
                <c:pt idx="2">
                  <c:v>ΔΑ</c:v>
                </c:pt>
              </c:strCache>
            </c:strRef>
          </c:cat>
          <c:val>
            <c:numRef>
              <c:f>Sheet1!$B$2:$D$2</c:f>
              <c:numCache>
                <c:formatCode>General</c:formatCode>
                <c:ptCount val="3"/>
                <c:pt idx="0">
                  <c:v>71.7</c:v>
                </c:pt>
                <c:pt idx="1">
                  <c:v>19.3</c:v>
                </c:pt>
                <c:pt idx="2">
                  <c:v>9</c:v>
                </c:pt>
              </c:numCache>
            </c:numRef>
          </c:val>
        </c:ser>
      </c:pie3DChart>
      <c:spPr>
        <a:noFill/>
        <a:ln w="25401">
          <a:noFill/>
        </a:ln>
      </c:spPr>
    </c:plotArea>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hPercent val="116"/>
      <c:depthPercent val="8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31019254559282206"/>
          <c:y val="0"/>
          <c:w val="0.7168141592920354"/>
          <c:h val="0.9270833333333337"/>
        </c:manualLayout>
      </c:layout>
      <c:bar3DChart>
        <c:barDir val="bar"/>
        <c:grouping val="clustered"/>
        <c:ser>
          <c:idx val="1"/>
          <c:order val="0"/>
          <c:tx>
            <c:strRef>
              <c:f>Sheet1!$A$2</c:f>
              <c:strCache>
                <c:ptCount val="1"/>
              </c:strCache>
            </c:strRef>
          </c:tx>
          <c:spPr>
            <a:gradFill rotWithShape="0">
              <a:gsLst>
                <a:gs pos="0">
                  <a:srgbClr val="008080"/>
                </a:gs>
                <a:gs pos="100000">
                  <a:srgbClr val="008080">
                    <a:gamma/>
                    <a:tint val="43922"/>
                    <a:invGamma/>
                  </a:srgbClr>
                </a:gs>
              </a:gsLst>
              <a:lin ang="2700000" scaled="1"/>
            </a:gradFill>
            <a:ln w="25453">
              <a:noFill/>
            </a:ln>
          </c:spPr>
          <c:dPt>
            <c:idx val="8"/>
            <c:spPr>
              <a:gradFill rotWithShape="0">
                <a:gsLst>
                  <a:gs pos="0">
                    <a:srgbClr val="C5D1D7"/>
                  </a:gs>
                  <a:gs pos="100000">
                    <a:srgbClr val="C5D1D7">
                      <a:gamma/>
                      <a:tint val="43922"/>
                      <a:invGamma/>
                    </a:srgbClr>
                  </a:gs>
                </a:gsLst>
                <a:lin ang="2700000" scaled="1"/>
              </a:gradFill>
              <a:ln w="25453">
                <a:noFill/>
              </a:ln>
            </c:spPr>
          </c:dPt>
          <c:dPt>
            <c:idx val="9"/>
            <c:spPr>
              <a:gradFill rotWithShape="0">
                <a:gsLst>
                  <a:gs pos="0">
                    <a:srgbClr val="D16349"/>
                  </a:gs>
                  <a:gs pos="100000">
                    <a:srgbClr val="D16349">
                      <a:gamma/>
                      <a:tint val="43922"/>
                      <a:invGamma/>
                    </a:srgbClr>
                  </a:gs>
                </a:gsLst>
                <a:lin ang="2700000" scaled="1"/>
              </a:gradFill>
              <a:ln w="25453">
                <a:noFill/>
              </a:ln>
            </c:spPr>
          </c:dPt>
          <c:dPt>
            <c:idx val="10"/>
            <c:spPr>
              <a:gradFill rotWithShape="0">
                <a:gsLst>
                  <a:gs pos="0">
                    <a:srgbClr val="C0C0C0"/>
                  </a:gs>
                  <a:gs pos="100000">
                    <a:srgbClr val="C0C0C0">
                      <a:gamma/>
                      <a:tint val="33333"/>
                      <a:invGamma/>
                    </a:srgbClr>
                  </a:gs>
                </a:gsLst>
                <a:lin ang="2700000" scaled="1"/>
              </a:gradFill>
              <a:ln w="25453">
                <a:noFill/>
              </a:ln>
            </c:spPr>
          </c:dPt>
          <c:dLbls>
            <c:dLbl>
              <c:idx val="0"/>
              <c:layout>
                <c:manualLayout>
                  <c:x val="-4.2223671878920494E-3"/>
                  <c:y val="3.8414108170972995E-2"/>
                </c:manualLayout>
              </c:layout>
              <c:showVal val="1"/>
            </c:dLbl>
            <c:dLbl>
              <c:idx val="1"/>
              <c:layout>
                <c:manualLayout>
                  <c:x val="-6.5162435835914431E-3"/>
                  <c:y val="-2.8762678424411642E-3"/>
                </c:manualLayout>
              </c:layout>
              <c:showVal val="1"/>
            </c:dLbl>
            <c:dLbl>
              <c:idx val="2"/>
              <c:layout>
                <c:manualLayout>
                  <c:x val="-8.6688936358301442E-3"/>
                  <c:y val="1.0301011466468482E-2"/>
                </c:manualLayout>
              </c:layout>
              <c:showVal val="1"/>
            </c:dLbl>
            <c:dLbl>
              <c:idx val="3"/>
              <c:layout>
                <c:manualLayout>
                  <c:x val="-1.3879244264783186E-3"/>
                  <c:y val="-5.2317473151675216E-3"/>
                </c:manualLayout>
              </c:layout>
              <c:showVal val="1"/>
            </c:dLbl>
            <c:dLbl>
              <c:idx val="4"/>
              <c:layout>
                <c:manualLayout>
                  <c:x val="6.0225523446428373E-3"/>
                  <c:y val="5.97608163603351E-3"/>
                </c:manualLayout>
              </c:layout>
              <c:showVal val="1"/>
            </c:dLbl>
            <c:dLbl>
              <c:idx val="5"/>
              <c:layout>
                <c:manualLayout>
                  <c:x val="-1.5229308011950765E-2"/>
                  <c:y val="2.3098578500424321E-3"/>
                </c:manualLayout>
              </c:layout>
              <c:showVal val="1"/>
            </c:dLbl>
            <c:dLbl>
              <c:idx val="6"/>
              <c:layout>
                <c:manualLayout>
                  <c:x val="1.6066449698932599E-2"/>
                  <c:y val="5.5886487787793612E-3"/>
                </c:manualLayout>
              </c:layout>
              <c:showVal val="1"/>
            </c:dLbl>
            <c:dLbl>
              <c:idx val="7"/>
              <c:layout>
                <c:manualLayout>
                  <c:x val="2.1527101485550891E-2"/>
                  <c:y val="6.3800084645656945E-3"/>
                </c:manualLayout>
              </c:layout>
              <c:showVal val="1"/>
            </c:dLbl>
            <c:dLbl>
              <c:idx val="8"/>
              <c:layout>
                <c:manualLayout>
                  <c:x val="7.373818018137677E-3"/>
                  <c:y val="7.4503619198429437E-4"/>
                </c:manualLayout>
              </c:layout>
              <c:showVal val="1"/>
            </c:dLbl>
            <c:dLbl>
              <c:idx val="9"/>
              <c:layout>
                <c:manualLayout>
                  <c:x val="1.0652831061759687E-2"/>
                  <c:y val="-6.6574834503531494E-3"/>
                </c:manualLayout>
              </c:layout>
              <c:showVal val="1"/>
            </c:dLbl>
            <c:dLbl>
              <c:idx val="10"/>
              <c:layout>
                <c:manualLayout>
                  <c:x val="1.2132544829598397E-2"/>
                  <c:y val="9.2717174716075591E-3"/>
                </c:manualLayout>
              </c:layout>
              <c:showVal val="1"/>
            </c:dLbl>
            <c:numFmt formatCode="0.0" sourceLinked="0"/>
            <c:spPr>
              <a:noFill/>
              <a:ln w="25453">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Sheet1!$B$1:$L$1</c:f>
              <c:strCache>
                <c:ptCount val="11"/>
                <c:pt idx="0">
                  <c:v>ΣΥΡΙΖΑ</c:v>
                </c:pt>
                <c:pt idx="1">
                  <c:v>ΝΔ</c:v>
                </c:pt>
                <c:pt idx="2">
                  <c:v>ΧΡΥΣΗ ΑΥΓΗ</c:v>
                </c:pt>
                <c:pt idx="3">
                  <c:v>ΚΚΕ</c:v>
                </c:pt>
                <c:pt idx="4">
                  <c:v>ΑΝΕΛ</c:v>
                </c:pt>
                <c:pt idx="5">
                  <c:v>ΠΑΣΟΚ ΕΛΙΑ</c:v>
                </c:pt>
                <c:pt idx="6">
                  <c:v>ΠΟΤΑΜΙ</c:v>
                </c:pt>
                <c:pt idx="7">
                  <c:v>ΛΑΟΣ</c:v>
                </c:pt>
                <c:pt idx="8">
                  <c:v>Άλλο</c:v>
                </c:pt>
                <c:pt idx="9">
                  <c:v>Κανένα</c:v>
                </c:pt>
                <c:pt idx="10">
                  <c:v>ΔΑ</c:v>
                </c:pt>
              </c:strCache>
            </c:strRef>
          </c:cat>
          <c:val>
            <c:numRef>
              <c:f>Sheet1!$B$2:$L$2</c:f>
              <c:numCache>
                <c:formatCode>General</c:formatCode>
                <c:ptCount val="11"/>
                <c:pt idx="0">
                  <c:v>7.6</c:v>
                </c:pt>
                <c:pt idx="1">
                  <c:v>6</c:v>
                </c:pt>
                <c:pt idx="2">
                  <c:v>3.2</c:v>
                </c:pt>
                <c:pt idx="3">
                  <c:v>2.8</c:v>
                </c:pt>
                <c:pt idx="4">
                  <c:v>1</c:v>
                </c:pt>
                <c:pt idx="5">
                  <c:v>0.9</c:v>
                </c:pt>
                <c:pt idx="6">
                  <c:v>0.2</c:v>
                </c:pt>
                <c:pt idx="7">
                  <c:v>0.1</c:v>
                </c:pt>
                <c:pt idx="8">
                  <c:v>3.1</c:v>
                </c:pt>
                <c:pt idx="9">
                  <c:v>72.5</c:v>
                </c:pt>
                <c:pt idx="10">
                  <c:v>2.6</c:v>
                </c:pt>
              </c:numCache>
            </c:numRef>
          </c:val>
        </c:ser>
        <c:dLbls>
          <c:showVal val="1"/>
        </c:dLbls>
        <c:gapWidth val="70"/>
        <c:gapDepth val="0"/>
        <c:shape val="box"/>
        <c:axId val="63616128"/>
        <c:axId val="63617664"/>
        <c:axId val="0"/>
      </c:bar3DChart>
      <c:catAx>
        <c:axId val="63616128"/>
        <c:scaling>
          <c:orientation val="maxMin"/>
        </c:scaling>
        <c:axPos val="l"/>
        <c:numFmt formatCode="General" sourceLinked="1"/>
        <c:tickLblPos val="low"/>
        <c:spPr>
          <a:ln w="3182">
            <a:solidFill>
              <a:srgbClr val="000000"/>
            </a:solidFill>
            <a:prstDash val="solid"/>
          </a:ln>
        </c:spPr>
        <c:txPr>
          <a:bodyPr rot="0" vert="horz"/>
          <a:lstStyle/>
          <a:p>
            <a:pPr>
              <a:defRPr sz="802" b="1" i="0" u="none" strike="noStrike" baseline="0">
                <a:solidFill>
                  <a:srgbClr val="000000"/>
                </a:solidFill>
                <a:latin typeface="Tahoma"/>
                <a:ea typeface="Tahoma"/>
                <a:cs typeface="Tahoma"/>
              </a:defRPr>
            </a:pPr>
            <a:endParaRPr lang="el-GR"/>
          </a:p>
        </c:txPr>
        <c:crossAx val="63617664"/>
        <c:crosses val="autoZero"/>
        <c:auto val="1"/>
        <c:lblAlgn val="ctr"/>
        <c:lblOffset val="100"/>
        <c:tickLblSkip val="1"/>
        <c:tickMarkSkip val="1"/>
      </c:catAx>
      <c:valAx>
        <c:axId val="63617664"/>
        <c:scaling>
          <c:orientation val="minMax"/>
          <c:max val="80"/>
          <c:min val="0"/>
        </c:scaling>
        <c:axPos val="b"/>
        <c:numFmt formatCode="General" sourceLinked="1"/>
        <c:tickLblPos val="nextTo"/>
        <c:spPr>
          <a:ln w="3182">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el-GR"/>
          </a:p>
        </c:txPr>
        <c:crossAx val="63616128"/>
        <c:crosses val="max"/>
        <c:crossBetween val="between"/>
      </c:valAx>
      <c:spPr>
        <a:noFill/>
        <a:ln w="25453">
          <a:noFill/>
        </a:ln>
      </c:spPr>
    </c:plotArea>
    <c:plotVisOnly val="1"/>
    <c:dispBlanksAs val="gap"/>
  </c:chart>
  <c:spPr>
    <a:noFill/>
    <a:ln>
      <a:noFill/>
    </a:ln>
  </c:spPr>
  <c:txPr>
    <a:bodyPr/>
    <a:lstStyle/>
    <a:p>
      <a:pPr>
        <a:defRPr sz="877" b="1" i="0" u="none" strike="noStrike" baseline="0">
          <a:solidFill>
            <a:srgbClr val="000000"/>
          </a:solidFill>
          <a:latin typeface="Times New Roman"/>
          <a:ea typeface="Times New Roman"/>
          <a:cs typeface="Times New Roman"/>
        </a:defRPr>
      </a:pPr>
      <a:endParaRPr lang="el-GR"/>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32"/>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bar"/>
        <c:grouping val="stacked"/>
        <c:ser>
          <c:idx val="1"/>
          <c:order val="0"/>
          <c:tx>
            <c:strRef>
              <c:f>Sheet1!$A$2</c:f>
              <c:strCache>
                <c:ptCount val="1"/>
              </c:strCache>
            </c:strRef>
          </c:tx>
          <c:spPr>
            <a:gradFill rotWithShape="0">
              <a:gsLst>
                <a:gs pos="0">
                  <a:srgbClr val="008000"/>
                </a:gs>
                <a:gs pos="100000">
                  <a:srgbClr val="FEFEFE">
                    <a:gamma/>
                    <a:tint val="63922"/>
                    <a:invGamma/>
                  </a:srgbClr>
                </a:gs>
              </a:gsLst>
              <a:lin ang="2700000" scaled="1"/>
            </a:gradFill>
            <a:ln w="25402">
              <a:noFill/>
            </a:ln>
          </c:spPr>
          <c:dPt>
            <c:idx val="0"/>
            <c:spPr>
              <a:solidFill>
                <a:srgbClr val="FF99CC"/>
              </a:solidFill>
              <a:ln w="25402">
                <a:noFill/>
              </a:ln>
            </c:spPr>
          </c:dPt>
          <c:dPt>
            <c:idx val="1"/>
            <c:spPr>
              <a:solidFill>
                <a:srgbClr val="3366FF"/>
              </a:solidFill>
              <a:ln w="25402">
                <a:noFill/>
              </a:ln>
            </c:spPr>
          </c:dPt>
          <c:dPt>
            <c:idx val="2"/>
            <c:spPr>
              <a:solidFill>
                <a:srgbClr val="333333"/>
              </a:solidFill>
              <a:ln w="25402">
                <a:noFill/>
              </a:ln>
            </c:spPr>
          </c:dPt>
          <c:dPt>
            <c:idx val="3"/>
            <c:spPr>
              <a:solidFill>
                <a:srgbClr val="FF9900"/>
              </a:solidFill>
              <a:ln w="25402">
                <a:noFill/>
              </a:ln>
            </c:spPr>
          </c:dPt>
          <c:dPt>
            <c:idx val="4"/>
            <c:spPr>
              <a:gradFill rotWithShape="0">
                <a:gsLst>
                  <a:gs pos="0">
                    <a:srgbClr val="FF0000"/>
                  </a:gs>
                  <a:gs pos="100000">
                    <a:srgbClr val="FFFEFE">
                      <a:gamma/>
                      <a:tint val="63922"/>
                      <a:invGamma/>
                    </a:srgbClr>
                  </a:gs>
                </a:gsLst>
                <a:lin ang="2700000" scaled="1"/>
              </a:gradFill>
              <a:ln w="25402">
                <a:noFill/>
              </a:ln>
            </c:spPr>
          </c:dPt>
          <c:dPt>
            <c:idx val="5"/>
            <c:spPr>
              <a:solidFill>
                <a:srgbClr val="99CCFF"/>
              </a:solidFill>
              <a:ln w="25402">
                <a:noFill/>
              </a:ln>
            </c:spPr>
          </c:dPt>
          <c:dPt>
            <c:idx val="6"/>
            <c:spPr>
              <a:solidFill>
                <a:srgbClr val="008000"/>
              </a:solidFill>
              <a:ln w="25402">
                <a:noFill/>
              </a:ln>
            </c:spPr>
          </c:dPt>
          <c:dPt>
            <c:idx val="7"/>
            <c:spPr>
              <a:solidFill>
                <a:srgbClr val="808080"/>
              </a:solidFill>
              <a:ln w="25402">
                <a:noFill/>
              </a:ln>
            </c:spPr>
          </c:dPt>
          <c:dPt>
            <c:idx val="8"/>
            <c:spPr>
              <a:gradFill rotWithShape="0">
                <a:gsLst>
                  <a:gs pos="0">
                    <a:srgbClr val="FF0000"/>
                  </a:gs>
                  <a:gs pos="50000">
                    <a:srgbClr val="000000">
                      <a:gamma/>
                      <a:shade val="46275"/>
                      <a:invGamma/>
                    </a:srgbClr>
                  </a:gs>
                  <a:gs pos="100000">
                    <a:srgbClr val="FF0000"/>
                  </a:gs>
                </a:gsLst>
                <a:lin ang="5400000" scaled="1"/>
              </a:gradFill>
              <a:ln w="25402">
                <a:noFill/>
              </a:ln>
            </c:spPr>
          </c:dPt>
          <c:dPt>
            <c:idx val="9"/>
            <c:spPr>
              <a:gradFill rotWithShape="0">
                <a:gsLst>
                  <a:gs pos="0">
                    <a:srgbClr val="D1C39F"/>
                  </a:gs>
                  <a:gs pos="35001">
                    <a:srgbClr val="F0EBD5"/>
                  </a:gs>
                  <a:gs pos="100000">
                    <a:srgbClr val="FFEFD1"/>
                  </a:gs>
                </a:gsLst>
                <a:lin ang="2700000" scaled="1"/>
              </a:gradFill>
              <a:ln w="25402">
                <a:noFill/>
              </a:ln>
            </c:spPr>
          </c:dPt>
          <c:dLbls>
            <c:dLbl>
              <c:idx val="0"/>
              <c:layout>
                <c:manualLayout>
                  <c:x val="0.12717949142326734"/>
                  <c:y val="-1.4647078511159263E-2"/>
                </c:manualLayout>
              </c:layout>
              <c:showVal val="1"/>
            </c:dLbl>
            <c:dLbl>
              <c:idx val="1"/>
              <c:layout>
                <c:manualLayout>
                  <c:x val="8.9582351339864433E-2"/>
                  <c:y val="9.3532936958173711E-3"/>
                </c:manualLayout>
              </c:layout>
              <c:showVal val="1"/>
            </c:dLbl>
            <c:dLbl>
              <c:idx val="2"/>
              <c:layout>
                <c:manualLayout>
                  <c:x val="5.5801867941196591E-2"/>
                  <c:y val="9.1666012068788941E-3"/>
                </c:manualLayout>
              </c:layout>
              <c:showVal val="1"/>
            </c:dLbl>
            <c:dLbl>
              <c:idx val="3"/>
              <c:layout>
                <c:manualLayout>
                  <c:x val="6.5373253131875392E-2"/>
                  <c:y val="1.7437430716832243E-2"/>
                </c:manualLayout>
              </c:layout>
              <c:showVal val="1"/>
            </c:dLbl>
            <c:dLbl>
              <c:idx val="4"/>
              <c:layout>
                <c:manualLayout>
                  <c:x val="4.9003462225118921E-2"/>
                  <c:y val="2.2441141670362433E-2"/>
                </c:manualLayout>
              </c:layout>
              <c:showVal val="1"/>
            </c:dLbl>
            <c:dLbl>
              <c:idx val="5"/>
              <c:layout>
                <c:manualLayout>
                  <c:x val="3.5164517930017729E-2"/>
                  <c:y val="6.6523255729405454E-3"/>
                </c:manualLayout>
              </c:layout>
              <c:showVal val="1"/>
            </c:dLbl>
            <c:dLbl>
              <c:idx val="6"/>
              <c:layout>
                <c:manualLayout>
                  <c:x val="4.5204199020162407E-2"/>
                  <c:y val="7.669891045559046E-3"/>
                </c:manualLayout>
              </c:layout>
              <c:showVal val="1"/>
            </c:dLbl>
            <c:dLbl>
              <c:idx val="7"/>
              <c:layout>
                <c:manualLayout>
                  <c:x val="6.0276310552739722E-2"/>
                  <c:y val="-5.8237489049428933E-3"/>
                </c:manualLayout>
              </c:layout>
              <c:showVal val="1"/>
            </c:dLbl>
            <c:dLbl>
              <c:idx val="8"/>
              <c:layout>
                <c:manualLayout>
                  <c:x val="0.28147672327270151"/>
                  <c:y val="1.3689843188876791E-2"/>
                </c:manualLayout>
              </c:layout>
              <c:showVal val="1"/>
            </c:dLbl>
            <c:dLbl>
              <c:idx val="9"/>
              <c:layout>
                <c:manualLayout>
                  <c:x val="0.10461943518263912"/>
                  <c:y val="3.4650830446938336E-3"/>
                </c:manualLayout>
              </c:layout>
              <c:showVal val="1"/>
            </c:dLbl>
            <c:numFmt formatCode="0.0" sourceLinked="0"/>
            <c:spPr>
              <a:noFill/>
              <a:ln w="25402">
                <a:noFill/>
              </a:ln>
            </c:spPr>
            <c:txPr>
              <a:bodyPr/>
              <a:lstStyle/>
              <a:p>
                <a:pPr>
                  <a:defRPr sz="875" b="1" i="0" u="none" strike="noStrike" baseline="0">
                    <a:solidFill>
                      <a:srgbClr val="000000"/>
                    </a:solidFill>
                    <a:latin typeface="Tahoma"/>
                    <a:ea typeface="Tahoma"/>
                    <a:cs typeface="Tahoma"/>
                  </a:defRPr>
                </a:pPr>
                <a:endParaRPr lang="el-GR"/>
              </a:p>
            </c:txPr>
            <c:showVal val="1"/>
          </c:dLbls>
          <c:cat>
            <c:strRef>
              <c:f>Sheet1!$B$1:$K$1</c:f>
              <c:strCache>
                <c:ptCount val="10"/>
                <c:pt idx="0">
                  <c:v>ΣΥΡΙΖΑ</c:v>
                </c:pt>
                <c:pt idx="1">
                  <c:v>ΝΔ</c:v>
                </c:pt>
                <c:pt idx="2">
                  <c:v>ΧΡΥΣΗ ΑΥΓΗ</c:v>
                </c:pt>
                <c:pt idx="3">
                  <c:v>ΤΟ ΠΟΤΑΜΙ</c:v>
                </c:pt>
                <c:pt idx="4">
                  <c:v>ΚΚΕ</c:v>
                </c:pt>
                <c:pt idx="5">
                  <c:v>ΑΝ.ΕΛ.</c:v>
                </c:pt>
                <c:pt idx="6">
                  <c:v>ΠΑΣΟΚ</c:v>
                </c:pt>
                <c:pt idx="7">
                  <c:v>ΆΛΛΟ</c:v>
                </c:pt>
                <c:pt idx="8">
                  <c:v>ΚΑΝΕΝΑ</c:v>
                </c:pt>
                <c:pt idx="9">
                  <c:v>ΔΑ</c:v>
                </c:pt>
              </c:strCache>
            </c:strRef>
          </c:cat>
          <c:val>
            <c:numRef>
              <c:f>Sheet1!$B$2:$K$2</c:f>
              <c:numCache>
                <c:formatCode>General</c:formatCode>
                <c:ptCount val="10"/>
                <c:pt idx="0">
                  <c:v>13.7</c:v>
                </c:pt>
                <c:pt idx="1">
                  <c:v>9.2000000000000011</c:v>
                </c:pt>
                <c:pt idx="2">
                  <c:v>1.8</c:v>
                </c:pt>
                <c:pt idx="3">
                  <c:v>2</c:v>
                </c:pt>
                <c:pt idx="4">
                  <c:v>2.1</c:v>
                </c:pt>
                <c:pt idx="5">
                  <c:v>0.9</c:v>
                </c:pt>
                <c:pt idx="6">
                  <c:v>1</c:v>
                </c:pt>
                <c:pt idx="7">
                  <c:v>3.1</c:v>
                </c:pt>
                <c:pt idx="8">
                  <c:v>56.5</c:v>
                </c:pt>
                <c:pt idx="9">
                  <c:v>9.8000000000000007</c:v>
                </c:pt>
              </c:numCache>
            </c:numRef>
          </c:val>
        </c:ser>
        <c:dLbls>
          <c:showVal val="1"/>
        </c:dLbls>
        <c:gapWidth val="70"/>
        <c:gapDepth val="0"/>
        <c:shape val="box"/>
        <c:axId val="63949056"/>
        <c:axId val="64004096"/>
        <c:axId val="0"/>
      </c:bar3DChart>
      <c:catAx>
        <c:axId val="63949056"/>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64004096"/>
        <c:crosses val="autoZero"/>
        <c:auto val="1"/>
        <c:lblAlgn val="ctr"/>
        <c:lblOffset val="100"/>
        <c:tickLblSkip val="1"/>
        <c:tickMarkSkip val="1"/>
      </c:catAx>
      <c:valAx>
        <c:axId val="64004096"/>
        <c:scaling>
          <c:orientation val="minMax"/>
          <c:max val="90"/>
          <c:min val="0"/>
        </c:scaling>
        <c:axPos val="b"/>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el-GR"/>
          </a:p>
        </c:txPr>
        <c:crossAx val="63949056"/>
        <c:crosses val="max"/>
        <c:crossBetween val="between"/>
      </c:valAx>
      <c:spPr>
        <a:noFill/>
        <a:ln w="25402">
          <a:noFill/>
        </a:ln>
      </c:spPr>
    </c:plotArea>
    <c:plotVisOnly val="1"/>
    <c:dispBlanksAs val="gap"/>
  </c:chart>
  <c:spPr>
    <a:noFill/>
    <a:ln>
      <a:noFill/>
    </a:ln>
  </c:spPr>
  <c:txPr>
    <a:bodyPr/>
    <a:lstStyle/>
    <a:p>
      <a:pPr>
        <a:defRPr sz="2025" b="1" i="0" u="none" strike="noStrike" baseline="0">
          <a:solidFill>
            <a:srgbClr val="000000"/>
          </a:solidFill>
          <a:latin typeface="Times New Roman"/>
          <a:ea typeface="Times New Roman"/>
          <a:cs typeface="Times New Roman"/>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title>
      <c:txPr>
        <a:bodyPr/>
        <a:lstStyle/>
        <a:p>
          <a:pPr>
            <a:defRPr sz="1140" b="1" i="0" u="none" strike="noStrike" baseline="0">
              <a:solidFill>
                <a:srgbClr val="000000"/>
              </a:solidFill>
              <a:latin typeface="Times New Roman"/>
              <a:ea typeface="Times New Roman"/>
              <a:cs typeface="Times New Roman"/>
            </a:defRPr>
          </a:pPr>
          <a:endParaRPr lang="el-GR"/>
        </a:p>
      </c:txPr>
    </c:title>
    <c:view3D>
      <c:rotY val="40"/>
      <c:perspective val="0"/>
    </c:view3D>
    <c:plotArea>
      <c:layout>
        <c:manualLayout>
          <c:layoutTarget val="inner"/>
          <c:xMode val="edge"/>
          <c:yMode val="edge"/>
          <c:x val="0.10516661417322853"/>
          <c:y val="0.16876433150157008"/>
          <c:w val="0.81633343832020999"/>
          <c:h val="0.73201599927241379"/>
        </c:manualLayout>
      </c:layout>
      <c:pie3DChart>
        <c:varyColors val="1"/>
        <c:ser>
          <c:idx val="0"/>
          <c:order val="0"/>
          <c:tx>
            <c:strRef>
              <c:f>Sheet1!$A$2</c:f>
              <c:strCache>
                <c:ptCount val="1"/>
              </c:strCache>
            </c:strRef>
          </c:tx>
          <c:spPr>
            <a:solidFill>
              <a:schemeClr val="accent1"/>
            </a:solidFill>
            <a:ln w="12064">
              <a:solidFill>
                <a:schemeClr val="tx1"/>
              </a:solidFill>
              <a:prstDash val="solid"/>
            </a:ln>
          </c:spPr>
          <c:explosion val="26"/>
          <c:dPt>
            <c:idx val="0"/>
            <c:spPr>
              <a:solidFill>
                <a:srgbClr val="C000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3"/>
            <c:spPr>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lin ang="5400000" scaled="1"/>
                <a:tileRect/>
              </a:gradFill>
              <a:ln w="24127">
                <a:noFill/>
              </a:ln>
            </c:spPr>
          </c:dPt>
          <c:dPt>
            <c:idx val="4"/>
            <c:spPr>
              <a:gradFill>
                <a:gsLst>
                  <a:gs pos="0">
                    <a:srgbClr val="FFEFD1"/>
                  </a:gs>
                  <a:gs pos="64999">
                    <a:srgbClr val="F0EBD5"/>
                  </a:gs>
                  <a:gs pos="100000">
                    <a:srgbClr val="D1C39F"/>
                  </a:gs>
                </a:gsLst>
                <a:lin ang="2700000" scaled="0"/>
              </a:gradFill>
              <a:ln w="24127">
                <a:noFill/>
              </a:ln>
            </c:spPr>
          </c:dPt>
          <c:dLbls>
            <c:dLbl>
              <c:idx val="0"/>
              <c:layout>
                <c:manualLayout>
                  <c:x val="-1.6914552347623252E-4"/>
                  <c:y val="-6.5869577461615578E-2"/>
                </c:manualLayout>
              </c:layout>
              <c:dLblPos val="bestFit"/>
              <c:showCatName val="1"/>
              <c:showPercent val="1"/>
            </c:dLbl>
            <c:dLbl>
              <c:idx val="1"/>
              <c:layout>
                <c:manualLayout>
                  <c:x val="-1.8555334658714381E-2"/>
                  <c:y val="4.0412526968160424E-2"/>
                </c:manualLayout>
              </c:layout>
              <c:dLblPos val="bestFit"/>
              <c:showCatName val="1"/>
              <c:showPercent val="1"/>
            </c:dLbl>
            <c:dLbl>
              <c:idx val="2"/>
              <c:layout>
                <c:manualLayout>
                  <c:x val="-3.8403072379372134E-2"/>
                  <c:y val="6.1283203473911314E-2"/>
                </c:manualLayout>
              </c:layout>
              <c:dLblPos val="bestFit"/>
              <c:showCatName val="1"/>
              <c:showPercent val="1"/>
            </c:dLbl>
            <c:dLbl>
              <c:idx val="3"/>
              <c:layout>
                <c:manualLayout>
                  <c:x val="5.5026272809338347E-2"/>
                  <c:y val="-6.9624987975979435E-2"/>
                </c:manualLayout>
              </c:layout>
              <c:dLblPos val="bestFit"/>
              <c:showCatName val="1"/>
              <c:showPercent val="1"/>
            </c:dLbl>
            <c:dLbl>
              <c:idx val="4"/>
              <c:layout>
                <c:manualLayout>
                  <c:x val="-5.2978099959727361E-2"/>
                  <c:y val="-6.0281391864643534E-2"/>
                </c:manualLayout>
              </c:layout>
              <c:dLblPos val="bestFit"/>
              <c:showCatName val="1"/>
              <c:showPercent val="1"/>
            </c:dLbl>
            <c:dLbl>
              <c:idx val="5"/>
              <c:layout>
                <c:manualLayout>
                  <c:x val="8.3460979678224839E-3"/>
                  <c:y val="-3.848097112860898E-2"/>
                </c:manualLayout>
              </c:layout>
              <c:dLblPos val="bestFit"/>
              <c:showCatName val="1"/>
              <c:showPercent val="1"/>
            </c:dLbl>
            <c:numFmt formatCode="0.0%" sourceLinked="0"/>
            <c:spPr>
              <a:noFill/>
              <a:ln w="24127">
                <a:noFill/>
              </a:ln>
            </c:spPr>
            <c:txPr>
              <a:bodyPr/>
              <a:lstStyle/>
              <a:p>
                <a:pPr>
                  <a:defRPr sz="700" b="1" i="0" u="none" strike="noStrike" baseline="0">
                    <a:solidFill>
                      <a:srgbClr val="000000"/>
                    </a:solidFill>
                    <a:latin typeface="Tahoma"/>
                    <a:ea typeface="Tahoma"/>
                    <a:cs typeface="Tahoma"/>
                  </a:defRPr>
                </a:pPr>
                <a:endParaRPr lang="el-GR"/>
              </a:p>
            </c:txPr>
            <c:showCatName val="1"/>
            <c:showPercent val="1"/>
          </c:dLbls>
          <c:cat>
            <c:strRef>
              <c:f>Sheet1!$B$1:$F$1</c:f>
              <c:strCache>
                <c:ptCount val="5"/>
                <c:pt idx="0">
                  <c:v>Πολύ πιθανό</c:v>
                </c:pt>
                <c:pt idx="1">
                  <c:v>Αρκετά πιθανό</c:v>
                </c:pt>
                <c:pt idx="2">
                  <c:v>Ελάχιστα πιθανό</c:v>
                </c:pt>
                <c:pt idx="3">
                  <c:v>Καθόλου πιθανό</c:v>
                </c:pt>
                <c:pt idx="4">
                  <c:v>ΔΓ/ΔΑ</c:v>
                </c:pt>
              </c:strCache>
            </c:strRef>
          </c:cat>
          <c:val>
            <c:numRef>
              <c:f>Sheet1!$B$2:$F$2</c:f>
              <c:numCache>
                <c:formatCode>General</c:formatCode>
                <c:ptCount val="5"/>
                <c:pt idx="0">
                  <c:v>22</c:v>
                </c:pt>
                <c:pt idx="1">
                  <c:v>24.3</c:v>
                </c:pt>
                <c:pt idx="2">
                  <c:v>26.3</c:v>
                </c:pt>
                <c:pt idx="3">
                  <c:v>25.4</c:v>
                </c:pt>
                <c:pt idx="4">
                  <c:v>2</c:v>
                </c:pt>
              </c:numCache>
            </c:numRef>
          </c:val>
        </c:ser>
      </c:pie3DChart>
      <c:spPr>
        <a:noFill/>
        <a:ln w="25399">
          <a:noFill/>
        </a:ln>
      </c:spPr>
    </c:plotArea>
    <c:plotVisOnly val="1"/>
    <c:dispBlanksAs val="zero"/>
  </c:chart>
  <c:spPr>
    <a:noFill/>
    <a:ln>
      <a:noFill/>
    </a:ln>
  </c:spPr>
  <c:txPr>
    <a:bodyPr/>
    <a:lstStyle/>
    <a:p>
      <a:pPr>
        <a:defRPr sz="950" b="1" i="0" u="none" strike="noStrike" baseline="0">
          <a:solidFill>
            <a:srgbClr val="000000"/>
          </a:solidFill>
          <a:latin typeface="Times New Roman"/>
          <a:ea typeface="Times New Roman"/>
          <a:cs typeface="Times New Roman"/>
        </a:defRPr>
      </a:pPr>
      <a:endParaRPr lang="el-G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sz="2010" b="1" i="0" u="none" strike="noStrike" baseline="0">
              <a:solidFill>
                <a:srgbClr val="000000"/>
              </a:solidFill>
              <a:latin typeface="Times New Roman"/>
              <a:ea typeface="Times New Roman"/>
              <a:cs typeface="Times New Roman"/>
            </a:defRPr>
          </a:pPr>
          <a:endParaRPr lang="el-GR"/>
        </a:p>
      </c:txPr>
    </c:title>
    <c:view3D>
      <c:hPercent val="72"/>
      <c:depthPercent val="60"/>
      <c:rAngAx val="1"/>
    </c:view3D>
    <c:floor>
      <c:spPr>
        <a:solidFill>
          <a:srgbClr val="C0C0C0"/>
        </a:solidFill>
        <a:ln w="3175">
          <a:solidFill>
            <a:schemeClr val="tx1"/>
          </a:solidFill>
          <a:prstDash val="solid"/>
        </a:ln>
      </c:spPr>
    </c:floor>
    <c:sideWall>
      <c:spPr>
        <a:noFill/>
        <a:ln w="25400">
          <a:noFill/>
        </a:ln>
      </c:spPr>
    </c:sideWall>
    <c:backWall>
      <c:spPr>
        <a:noFill/>
        <a:ln w="25400">
          <a:noFill/>
        </a:ln>
      </c:spPr>
    </c:backWall>
    <c:plotArea>
      <c:layout>
        <c:manualLayout>
          <c:layoutTarget val="inner"/>
          <c:xMode val="edge"/>
          <c:yMode val="edge"/>
          <c:x val="0.10205929749629881"/>
          <c:y val="0"/>
          <c:w val="0.89118188845362711"/>
          <c:h val="0.70236779905176017"/>
        </c:manualLayout>
      </c:layout>
      <c:bar3DChart>
        <c:barDir val="col"/>
        <c:grouping val="clustered"/>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5">
              <a:noFill/>
            </a:ln>
          </c:spPr>
          <c:dPt>
            <c:idx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chemeClr val="accent2">
                  <a:lumMod val="40000"/>
                  <a:lumOff val="60000"/>
                </a:schemeClr>
              </a:solidFill>
              <a:ln w="23655">
                <a:noFill/>
              </a:ln>
            </c:spPr>
          </c:dPt>
          <c:dPt>
            <c:idx val="2"/>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solidFill>
                <a:srgbClr val="C86664"/>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spPr>
              <a:solidFill>
                <a:schemeClr val="accent2"/>
              </a:solidFill>
              <a:ln w="23655">
                <a:noFill/>
              </a:ln>
            </c:spPr>
          </c:dPt>
          <c:dPt>
            <c:idx val="5"/>
            <c:spPr>
              <a:solidFill>
                <a:schemeClr val="accent2">
                  <a:lumMod val="75000"/>
                </a:schemeClr>
              </a:solidFill>
              <a:ln w="23655">
                <a:noFill/>
              </a:ln>
            </c:spPr>
          </c:dPt>
          <c:dPt>
            <c:idx val="6"/>
            <c:spPr>
              <a:solidFill>
                <a:srgbClr val="C00000"/>
              </a:solidFill>
              <a:ln w="23655">
                <a:solidFill>
                  <a:srgbClr val="C00000"/>
                </a:solidFill>
              </a:ln>
            </c:spPr>
          </c:dPt>
          <c:dPt>
            <c:idx val="7"/>
            <c:spPr>
              <a:solidFill>
                <a:srgbClr val="920000"/>
              </a:solidFill>
              <a:ln w="23655">
                <a:noFill/>
              </a:ln>
            </c:spPr>
          </c:dPt>
          <c:dPt>
            <c:idx val="8"/>
            <c:spPr>
              <a:solidFill>
                <a:srgbClr val="740000"/>
              </a:solidFill>
              <a:ln w="23655">
                <a:noFill/>
              </a:ln>
            </c:spPr>
          </c:dPt>
          <c:dPt>
            <c:idx val="9"/>
            <c:spPr>
              <a:solidFill>
                <a:srgbClr val="500000"/>
              </a:solidFill>
              <a:ln w="23655">
                <a:noFill/>
              </a:ln>
            </c:spPr>
          </c:dPt>
          <c:dLbls>
            <c:dLbl>
              <c:idx val="0"/>
              <c:layout>
                <c:manualLayout>
                  <c:x val="9.2398422925790268E-3"/>
                  <c:y val="-2.9627598306405191E-2"/>
                </c:manualLayout>
              </c:layout>
              <c:showVal val="1"/>
            </c:dLbl>
            <c:dLbl>
              <c:idx val="1"/>
              <c:layout>
                <c:manualLayout>
                  <c:x val="-6.3651127865775115E-3"/>
                  <c:y val="-2.3682536302171511E-2"/>
                </c:manualLayout>
              </c:layout>
              <c:showVal val="1"/>
            </c:dLbl>
            <c:dLbl>
              <c:idx val="2"/>
              <c:layout>
                <c:manualLayout>
                  <c:x val="8.7790650929848897E-3"/>
                  <c:y val="-2.6523441194613698E-2"/>
                </c:manualLayout>
              </c:layout>
              <c:showVal val="1"/>
            </c:dLbl>
            <c:dLbl>
              <c:idx val="3"/>
              <c:layout>
                <c:manualLayout>
                  <c:x val="7.9802743596189341E-4"/>
                  <c:y val="-1.9887028906236243E-2"/>
                </c:manualLayout>
              </c:layout>
              <c:showVal val="1"/>
            </c:dLbl>
            <c:dLbl>
              <c:idx val="5"/>
              <c:layout>
                <c:manualLayout>
                  <c:x val="-1.0608799757150381E-2"/>
                  <c:y val="-1.1364002419548241E-2"/>
                </c:manualLayout>
              </c:layout>
              <c:showVal val="1"/>
            </c:dLbl>
            <c:dLbl>
              <c:idx val="6"/>
              <c:layout>
                <c:manualLayout>
                  <c:x val="-1.6788677610064359E-3"/>
                  <c:y val="-2.5256974803085089E-2"/>
                </c:manualLayout>
              </c:layout>
              <c:showVal val="1"/>
            </c:dLbl>
            <c:dLbl>
              <c:idx val="7"/>
              <c:layout>
                <c:manualLayout>
                  <c:x val="4.8469385158852393E-3"/>
                  <c:y val="-3.0218686926670332E-2"/>
                </c:manualLayout>
              </c:layout>
              <c:showVal val="1"/>
            </c:dLbl>
            <c:txPr>
              <a:bodyPr/>
              <a:lstStyle/>
              <a:p>
                <a:pPr>
                  <a:defRPr sz="700" b="1" i="0" u="none" strike="noStrike" baseline="0">
                    <a:solidFill>
                      <a:srgbClr val="000000"/>
                    </a:solidFill>
                    <a:latin typeface="Tahoma"/>
                    <a:ea typeface="Tahoma"/>
                    <a:cs typeface="Tahoma"/>
                  </a:defRPr>
                </a:pPr>
                <a:endParaRPr lang="el-GR"/>
              </a:p>
            </c:txPr>
            <c:showVal val="1"/>
          </c:dLbls>
          <c:cat>
            <c:strRef>
              <c:f>Sheet1!$B$1:$M$1</c:f>
              <c:strCache>
                <c:ptCount val="12"/>
                <c:pt idx="0">
                  <c:v>Μάιος 2009</c:v>
                </c:pt>
                <c:pt idx="1">
                  <c:v>Ιούλιος 2010</c:v>
                </c:pt>
                <c:pt idx="2">
                  <c:v>Ιανουάριος 2011</c:v>
                </c:pt>
                <c:pt idx="3">
                  <c:v>Ιούλιος 2011</c:v>
                </c:pt>
                <c:pt idx="4">
                  <c:v>Ιανουάριος 2012</c:v>
                </c:pt>
                <c:pt idx="5">
                  <c:v>Ιούλιος 2012</c:v>
                </c:pt>
                <c:pt idx="6">
                  <c:v>Ιανουάριος 2013</c:v>
                </c:pt>
                <c:pt idx="7">
                  <c:v>Ιούλιος 2013</c:v>
                </c:pt>
                <c:pt idx="8">
                  <c:v>Φεβρουάριος 2014</c:v>
                </c:pt>
                <c:pt idx="9">
                  <c:v>Ιούλιος 14</c:v>
                </c:pt>
                <c:pt idx="10">
                  <c:v>Φεβρουάριος 2015</c:v>
                </c:pt>
                <c:pt idx="11">
                  <c:v>Ιούλιος 2015</c:v>
                </c:pt>
              </c:strCache>
            </c:strRef>
          </c:cat>
          <c:val>
            <c:numRef>
              <c:f>Sheet1!$B$2:$M$2</c:f>
              <c:numCache>
                <c:formatCode>General</c:formatCode>
                <c:ptCount val="12"/>
                <c:pt idx="0">
                  <c:v>11.7</c:v>
                </c:pt>
                <c:pt idx="1">
                  <c:v>44.4</c:v>
                </c:pt>
                <c:pt idx="2">
                  <c:v>52.7</c:v>
                </c:pt>
                <c:pt idx="3">
                  <c:v>44.5</c:v>
                </c:pt>
                <c:pt idx="4">
                  <c:v>51.2</c:v>
                </c:pt>
                <c:pt idx="5">
                  <c:v>53.3</c:v>
                </c:pt>
                <c:pt idx="6">
                  <c:v>49.6</c:v>
                </c:pt>
                <c:pt idx="7">
                  <c:v>51.2</c:v>
                </c:pt>
                <c:pt idx="8">
                  <c:v>47.1</c:v>
                </c:pt>
                <c:pt idx="9">
                  <c:v>47.8</c:v>
                </c:pt>
                <c:pt idx="10">
                  <c:v>32.9</c:v>
                </c:pt>
                <c:pt idx="11">
                  <c:v>46.3</c:v>
                </c:pt>
              </c:numCache>
            </c:numRef>
          </c:val>
        </c:ser>
        <c:shape val="box"/>
        <c:axId val="62578688"/>
        <c:axId val="62580224"/>
        <c:axId val="0"/>
      </c:bar3DChart>
      <c:catAx>
        <c:axId val="62578688"/>
        <c:scaling>
          <c:orientation val="minMax"/>
        </c:scaling>
        <c:axPos val="b"/>
        <c:numFmt formatCode="General" sourceLinked="1"/>
        <c:majorTickMark val="none"/>
        <c:tickLblPos val="low"/>
        <c:spPr>
          <a:ln w="2957">
            <a:solidFill>
              <a:schemeClr val="tx1"/>
            </a:solidFill>
            <a:prstDash val="solid"/>
          </a:ln>
        </c:spPr>
        <c:txPr>
          <a:bodyPr rot="-2700000" vert="horz"/>
          <a:lstStyle/>
          <a:p>
            <a:pPr>
              <a:defRPr sz="700" b="1" i="0" u="none" strike="noStrike" baseline="0">
                <a:solidFill>
                  <a:srgbClr val="000000"/>
                </a:solidFill>
                <a:latin typeface="Tahoma"/>
                <a:ea typeface="Tahoma"/>
                <a:cs typeface="Tahoma"/>
              </a:defRPr>
            </a:pPr>
            <a:endParaRPr lang="el-GR"/>
          </a:p>
        </c:txPr>
        <c:crossAx val="62580224"/>
        <c:crosses val="autoZero"/>
        <c:auto val="1"/>
        <c:lblAlgn val="ctr"/>
        <c:lblOffset val="100"/>
        <c:tickLblSkip val="1"/>
        <c:tickMarkSkip val="1"/>
      </c:catAx>
      <c:valAx>
        <c:axId val="62580224"/>
        <c:scaling>
          <c:orientation val="minMax"/>
          <c:max val="60"/>
          <c:min val="0"/>
        </c:scaling>
        <c:axPos val="l"/>
        <c:majorGridlines/>
        <c:numFmt formatCode="General" sourceLinked="1"/>
        <c:majorTickMark val="none"/>
        <c:tickLblPos val="nextTo"/>
        <c:txPr>
          <a:bodyPr rot="0" vert="horz"/>
          <a:lstStyle/>
          <a:p>
            <a:pPr>
              <a:defRPr sz="600" b="1" i="0" u="none" strike="noStrike" baseline="0">
                <a:solidFill>
                  <a:srgbClr val="000000"/>
                </a:solidFill>
                <a:latin typeface="Times New Roman"/>
                <a:ea typeface="Times New Roman"/>
                <a:cs typeface="Times New Roman"/>
              </a:defRPr>
            </a:pPr>
            <a:endParaRPr lang="el-GR"/>
          </a:p>
        </c:txPr>
        <c:crossAx val="62578688"/>
        <c:crosses val="autoZero"/>
        <c:crossBetween val="between"/>
      </c:valAx>
      <c:spPr>
        <a:noFill/>
        <a:ln w="25400">
          <a:noFill/>
        </a:ln>
      </c:spPr>
    </c:plotArea>
    <c:plotVisOnly val="1"/>
    <c:dispBlanksAs val="gap"/>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39"/>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9077028666667087"/>
          <c:y val="4.0303339609152805E-2"/>
          <c:w val="0.63018731020397289"/>
          <c:h val="0.89222506169555604"/>
        </c:manualLayout>
      </c:layout>
      <c:bar3DChart>
        <c:barDir val="bar"/>
        <c:grouping val="stacked"/>
        <c:ser>
          <c:idx val="1"/>
          <c:order val="0"/>
          <c:tx>
            <c:strRef>
              <c:f>Sheet1!$A$2</c:f>
              <c:strCache>
                <c:ptCount val="1"/>
                <c:pt idx="0">
                  <c:v>Αύξηση</c:v>
                </c:pt>
              </c:strCache>
            </c:strRef>
          </c:tx>
          <c:spPr>
            <a:gradFill rotWithShape="0">
              <a:gsLst>
                <a:gs pos="0">
                  <a:srgbClr val="008000"/>
                </a:gs>
                <a:gs pos="100000">
                  <a:srgbClr val="FEFEFE">
                    <a:gamma/>
                    <a:tint val="63922"/>
                    <a:invGamma/>
                  </a:srgbClr>
                </a:gs>
              </a:gsLst>
              <a:lin ang="2700000" scaled="1"/>
            </a:gradFill>
            <a:ln w="25402">
              <a:noFill/>
            </a:ln>
          </c:spPr>
          <c:dLbls>
            <c:dLbl>
              <c:idx val="0"/>
              <c:layout>
                <c:manualLayout>
                  <c:x val="7.8797136810797926E-4"/>
                  <c:y val="1.6524657738962497E-2"/>
                </c:manualLayout>
              </c:layout>
              <c:showVal val="1"/>
            </c:dLbl>
            <c:dLbl>
              <c:idx val="1"/>
              <c:layout>
                <c:manualLayout>
                  <c:x val="-5.672919644940223E-3"/>
                  <c:y val="-3.5618112441990423E-3"/>
                </c:manualLayout>
              </c:layout>
              <c:showVal val="1"/>
            </c:dLbl>
            <c:dLbl>
              <c:idx val="2"/>
              <c:layout>
                <c:manualLayout>
                  <c:x val="-6.3243198471418262E-4"/>
                  <c:y val="-1.6110661372898499E-2"/>
                </c:manualLayout>
              </c:layout>
              <c:showVal val="1"/>
            </c:dLbl>
            <c:dLbl>
              <c:idx val="3"/>
              <c:layout>
                <c:manualLayout>
                  <c:x val="-3.9731080964519883E-3"/>
                  <c:y val="6.5169373506033309E-4"/>
                </c:manualLayout>
              </c:layout>
              <c:showVal val="1"/>
            </c:dLbl>
            <c:dLbl>
              <c:idx val="4"/>
              <c:layout>
                <c:manualLayout>
                  <c:x val="1.2079751238150405E-2"/>
                  <c:y val="-6.9251350320551474E-3"/>
                </c:manualLayout>
              </c:layout>
              <c:showVal val="1"/>
            </c:dLbl>
            <c:numFmt formatCode="0.0" sourceLinked="0"/>
            <c:spPr>
              <a:noFill/>
              <a:ln w="25402">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Sheet1!$B$2:$H$2</c:f>
              <c:numCache>
                <c:formatCode>General</c:formatCode>
                <c:ptCount val="7"/>
                <c:pt idx="0">
                  <c:v>6.1</c:v>
                </c:pt>
                <c:pt idx="1">
                  <c:v>7.8</c:v>
                </c:pt>
                <c:pt idx="2">
                  <c:v>5.8</c:v>
                </c:pt>
                <c:pt idx="3">
                  <c:v>5.5</c:v>
                </c:pt>
                <c:pt idx="4">
                  <c:v>2.6</c:v>
                </c:pt>
                <c:pt idx="5">
                  <c:v>12.6</c:v>
                </c:pt>
                <c:pt idx="6">
                  <c:v>2.1</c:v>
                </c:pt>
              </c:numCache>
            </c:numRef>
          </c:val>
        </c:ser>
        <c:ser>
          <c:idx val="0"/>
          <c:order val="1"/>
          <c:tx>
            <c:strRef>
              <c:f>Sheet1!$A$3</c:f>
              <c:strCache>
                <c:ptCount val="1"/>
                <c:pt idx="0">
                  <c:v>Μείωση</c:v>
                </c:pt>
              </c:strCache>
            </c:strRef>
          </c:tx>
          <c:spPr>
            <a:gradFill rotWithShape="0">
              <a:gsLst>
                <a:gs pos="0">
                  <a:srgbClr val="020000">
                    <a:gamma/>
                    <a:shade val="76078"/>
                    <a:invGamma/>
                  </a:srgbClr>
                </a:gs>
                <a:gs pos="100000">
                  <a:srgbClr val="FF0000"/>
                </a:gs>
              </a:gsLst>
              <a:lin ang="2700000" scaled="1"/>
            </a:gradFill>
            <a:ln w="25402">
              <a:noFill/>
            </a:ln>
          </c:spPr>
          <c:dLbls>
            <c:numFmt formatCode="0.0" sourceLinked="0"/>
            <c:spPr>
              <a:noFill/>
              <a:ln w="25402">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Sheet1!$B$3:$H$3</c:f>
              <c:numCache>
                <c:formatCode>General</c:formatCode>
                <c:ptCount val="7"/>
                <c:pt idx="0">
                  <c:v>68.7</c:v>
                </c:pt>
                <c:pt idx="1">
                  <c:v>67.3</c:v>
                </c:pt>
                <c:pt idx="2">
                  <c:v>71</c:v>
                </c:pt>
                <c:pt idx="3">
                  <c:v>68.900000000000006</c:v>
                </c:pt>
                <c:pt idx="4">
                  <c:v>46.6</c:v>
                </c:pt>
                <c:pt idx="5">
                  <c:v>23.3</c:v>
                </c:pt>
                <c:pt idx="6">
                  <c:v>23.4</c:v>
                </c:pt>
              </c:numCache>
            </c:numRef>
          </c:val>
        </c:ser>
        <c:ser>
          <c:idx val="2"/>
          <c:order val="2"/>
          <c:tx>
            <c:strRef>
              <c:f>Sheet1!$A$4</c:f>
              <c:strCache>
                <c:ptCount val="1"/>
                <c:pt idx="0">
                  <c:v>Χωρίς μεταβολή</c:v>
                </c:pt>
              </c:strCache>
            </c:strRef>
          </c:tx>
          <c:spPr>
            <a:gradFill rotWithShape="0">
              <a:gsLst>
                <a:gs pos="0">
                  <a:srgbClr val="C0C0C0"/>
                </a:gs>
                <a:gs pos="100000">
                  <a:srgbClr val="FFFFFF">
                    <a:gamma/>
                    <a:tint val="33725"/>
                    <a:invGamma/>
                  </a:srgbClr>
                </a:gs>
              </a:gsLst>
              <a:lin ang="2700000" scaled="1"/>
            </a:gradFill>
            <a:ln w="25402">
              <a:noFill/>
            </a:ln>
          </c:spPr>
          <c:dLbls>
            <c:dLbl>
              <c:idx val="0"/>
              <c:layout>
                <c:manualLayout>
                  <c:x val="-1.4566010345265852E-3"/>
                  <c:y val="-6.9764878913996841E-3"/>
                </c:manualLayout>
              </c:layout>
              <c:showVal val="1"/>
            </c:dLbl>
            <c:dLbl>
              <c:idx val="3"/>
              <c:layout>
                <c:manualLayout>
                  <c:x val="-9.866318325890416E-3"/>
                  <c:y val="5.833454022169433E-3"/>
                </c:manualLayout>
              </c:layout>
              <c:showVal val="1"/>
            </c:dLbl>
            <c:spPr>
              <a:noFill/>
              <a:ln w="25402">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Sheet1!$B$4:$H$4</c:f>
              <c:numCache>
                <c:formatCode>General</c:formatCode>
                <c:ptCount val="7"/>
                <c:pt idx="0">
                  <c:v>18.899999999999999</c:v>
                </c:pt>
                <c:pt idx="1">
                  <c:v>18.8</c:v>
                </c:pt>
                <c:pt idx="2">
                  <c:v>17.7</c:v>
                </c:pt>
                <c:pt idx="3">
                  <c:v>19.5</c:v>
                </c:pt>
                <c:pt idx="4">
                  <c:v>44.4</c:v>
                </c:pt>
                <c:pt idx="5">
                  <c:v>57.2</c:v>
                </c:pt>
                <c:pt idx="6">
                  <c:v>70.3</c:v>
                </c:pt>
              </c:numCache>
            </c:numRef>
          </c:val>
        </c:ser>
        <c:ser>
          <c:idx val="3"/>
          <c:order val="3"/>
          <c:tx>
            <c:strRef>
              <c:f>Sheet1!$A$5</c:f>
              <c:strCache>
                <c:ptCount val="1"/>
                <c:pt idx="0">
                  <c:v>ΔΑ</c:v>
                </c:pt>
              </c:strCache>
            </c:strRef>
          </c:tx>
          <c:spPr>
            <a:gradFill rotWithShape="0">
              <a:gsLst>
                <a:gs pos="0">
                  <a:srgbClr val="D1C39F"/>
                </a:gs>
                <a:gs pos="35001">
                  <a:srgbClr val="F0EBD5"/>
                </a:gs>
                <a:gs pos="100000">
                  <a:srgbClr val="FFEFD1"/>
                </a:gs>
              </a:gsLst>
              <a:lin ang="2700000" scaled="1"/>
            </a:gradFill>
            <a:ln w="25402">
              <a:noFill/>
            </a:ln>
          </c:spPr>
          <c:dLbls>
            <c:dLbl>
              <c:idx val="0"/>
              <c:layout>
                <c:manualLayout>
                  <c:x val="2.9274282321684595E-3"/>
                  <c:y val="-1.1059905706918265E-2"/>
                </c:manualLayout>
              </c:layout>
              <c:showVal val="1"/>
            </c:dLbl>
            <c:dLbl>
              <c:idx val="1"/>
              <c:layout>
                <c:manualLayout>
                  <c:x val="1.0345581954396613E-2"/>
                  <c:y val="-5.0793170877504994E-3"/>
                </c:manualLayout>
              </c:layout>
              <c:showVal val="1"/>
            </c:dLbl>
            <c:spPr>
              <a:noFill/>
              <a:ln w="25402">
                <a:noFill/>
              </a:ln>
            </c:spPr>
            <c:txPr>
              <a:bodyPr/>
              <a:lstStyle/>
              <a:p>
                <a:pPr>
                  <a:defRPr sz="900" b="1" i="0" u="none" strike="noStrike" baseline="0">
                    <a:solidFill>
                      <a:srgbClr val="000000"/>
                    </a:solidFill>
                    <a:latin typeface="Tahoma"/>
                    <a:ea typeface="Tahoma"/>
                    <a:cs typeface="Tahoma"/>
                  </a:defRPr>
                </a:pPr>
                <a:endParaRPr lang="el-GR"/>
              </a:p>
            </c:txPr>
            <c:showVal val="1"/>
          </c:dLbls>
          <c:cat>
            <c:strRef>
              <c:f>Sheet1!$B$1:$H$1</c:f>
              <c:strCache>
                <c:ptCount val="7"/>
                <c:pt idx="0">
                  <c:v>ΚΥΚΛΟΣ ΕΡΓΑΣΙΩΝ</c:v>
                </c:pt>
                <c:pt idx="1">
                  <c:v>ΖΗΤΗΣΗ</c:v>
                </c:pt>
                <c:pt idx="2">
                  <c:v>ΡΕΥΣΤΟΤΗΤΑ</c:v>
                </c:pt>
                <c:pt idx="3">
                  <c:v>ΠΑΡΑΓΓΕΛΙΕΣ</c:v>
                </c:pt>
                <c:pt idx="4">
                  <c:v>ΕΠΕΝΔΥΣΕΙΣ</c:v>
                </c:pt>
                <c:pt idx="5">
                  <c:v>ΤΙΜΕΣ ΑΓΑΘΩΝ/ΥΠΗΡΕΣΙΩΝ</c:v>
                </c:pt>
                <c:pt idx="6">
                  <c:v>ΑΠΑΣΧΟΛΗΣΗ</c:v>
                </c:pt>
              </c:strCache>
            </c:strRef>
          </c:cat>
          <c:val>
            <c:numRef>
              <c:f>Sheet1!$B$5:$H$5</c:f>
              <c:numCache>
                <c:formatCode>General</c:formatCode>
                <c:ptCount val="7"/>
                <c:pt idx="0">
                  <c:v>6.3</c:v>
                </c:pt>
                <c:pt idx="1">
                  <c:v>6.1</c:v>
                </c:pt>
                <c:pt idx="2">
                  <c:v>5.5</c:v>
                </c:pt>
                <c:pt idx="3">
                  <c:v>6.1</c:v>
                </c:pt>
                <c:pt idx="4">
                  <c:v>6.4</c:v>
                </c:pt>
                <c:pt idx="5">
                  <c:v>6.9</c:v>
                </c:pt>
                <c:pt idx="6">
                  <c:v>4.2</c:v>
                </c:pt>
              </c:numCache>
            </c:numRef>
          </c:val>
        </c:ser>
        <c:dLbls>
          <c:showVal val="1"/>
        </c:dLbls>
        <c:gapWidth val="70"/>
        <c:gapDepth val="0"/>
        <c:shape val="box"/>
        <c:axId val="62424192"/>
        <c:axId val="62425728"/>
        <c:axId val="0"/>
      </c:bar3DChart>
      <c:catAx>
        <c:axId val="62424192"/>
        <c:scaling>
          <c:orientation val="maxMin"/>
        </c:scaling>
        <c:axPos val="l"/>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ahoma"/>
                <a:ea typeface="Tahoma"/>
                <a:cs typeface="Tahoma"/>
              </a:defRPr>
            </a:pPr>
            <a:endParaRPr lang="el-GR"/>
          </a:p>
        </c:txPr>
        <c:crossAx val="62425728"/>
        <c:crosses val="autoZero"/>
        <c:auto val="1"/>
        <c:lblAlgn val="ctr"/>
        <c:lblOffset val="100"/>
        <c:tickLblSkip val="1"/>
        <c:tickMarkSkip val="1"/>
      </c:catAx>
      <c:valAx>
        <c:axId val="62425728"/>
        <c:scaling>
          <c:orientation val="minMax"/>
          <c:max val="100"/>
          <c:min val="0"/>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l-GR"/>
          </a:p>
        </c:txPr>
        <c:crossAx val="62424192"/>
        <c:crosses val="max"/>
        <c:crossBetween val="between"/>
      </c:valAx>
      <c:spPr>
        <a:noFill/>
        <a:ln w="25402">
          <a:noFill/>
        </a:ln>
      </c:spPr>
    </c:plotArea>
    <c:legend>
      <c:legendPos val="r"/>
      <c:layout>
        <c:manualLayout>
          <c:xMode val="edge"/>
          <c:yMode val="edge"/>
          <c:x val="6.297716922115866E-2"/>
          <c:y val="2.6588147716420089E-2"/>
          <c:w val="0.79477611940298509"/>
          <c:h val="3.1088082901554411E-2"/>
        </c:manualLayout>
      </c:layout>
      <c:spPr>
        <a:noFill/>
        <a:ln w="25402">
          <a:noFill/>
        </a:ln>
      </c:spPr>
      <c:txPr>
        <a:bodyPr/>
        <a:lstStyle/>
        <a:p>
          <a:pPr>
            <a:defRPr sz="825" b="1" i="0" u="none" strike="noStrike" baseline="0">
              <a:solidFill>
                <a:srgbClr val="000000"/>
              </a:solidFill>
              <a:latin typeface="Tahoma"/>
              <a:ea typeface="Tahoma"/>
              <a:cs typeface="Tahoma"/>
            </a:defRPr>
          </a:pPr>
          <a:endParaRPr lang="el-GR"/>
        </a:p>
      </c:txPr>
    </c:legend>
    <c:plotVisOnly val="1"/>
    <c:dispBlanksAs val="gap"/>
  </c:chart>
  <c:spPr>
    <a:noFill/>
    <a:ln>
      <a:noFill/>
    </a:ln>
  </c:spPr>
  <c:txPr>
    <a:bodyPr/>
    <a:lstStyle/>
    <a:p>
      <a:pPr>
        <a:defRPr sz="2075" b="1" i="0" u="none" strike="noStrike" baseline="0">
          <a:solidFill>
            <a:srgbClr val="000000"/>
          </a:solidFill>
          <a:latin typeface="Times New Roman"/>
          <a:ea typeface="Times New Roman"/>
          <a:cs typeface="Times New Roman"/>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title>
      <c:txPr>
        <a:bodyPr/>
        <a:lstStyle/>
        <a:p>
          <a:pPr>
            <a:defRPr sz="2010" b="1" i="0" u="none" strike="noStrike" baseline="0">
              <a:solidFill>
                <a:srgbClr val="000000"/>
              </a:solidFill>
              <a:latin typeface="Times New Roman"/>
              <a:ea typeface="Times New Roman"/>
              <a:cs typeface="Times New Roman"/>
            </a:defRPr>
          </a:pPr>
          <a:endParaRPr lang="el-GR"/>
        </a:p>
      </c:txPr>
    </c:title>
    <c:view3D>
      <c:hPercent val="72"/>
      <c:depthPercent val="60"/>
      <c:rAngAx val="1"/>
    </c:view3D>
    <c:floor>
      <c:spPr>
        <a:solidFill>
          <a:srgbClr val="C0C0C0"/>
        </a:solidFill>
        <a:ln w="3175">
          <a:solidFill>
            <a:schemeClr val="tx1"/>
          </a:solidFill>
          <a:prstDash val="solid"/>
        </a:ln>
      </c:spPr>
    </c:floor>
    <c:sideWall>
      <c:spPr>
        <a:noFill/>
        <a:ln w="25400">
          <a:noFill/>
        </a:ln>
      </c:spPr>
    </c:sideWall>
    <c:backWall>
      <c:spPr>
        <a:noFill/>
        <a:ln w="25400">
          <a:noFill/>
        </a:ln>
      </c:spPr>
    </c:backWall>
    <c:plotArea>
      <c:layout>
        <c:manualLayout>
          <c:layoutTarget val="inner"/>
          <c:xMode val="edge"/>
          <c:yMode val="edge"/>
          <c:x val="7.3079444835932483E-2"/>
          <c:y val="6.8731800005246924E-2"/>
          <c:w val="0.92365176629185963"/>
          <c:h val="0.68837973668332075"/>
        </c:manualLayout>
      </c:layout>
      <c:bar3DChart>
        <c:barDir val="col"/>
        <c:grouping val="clustered"/>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5">
              <a:noFill/>
            </a:ln>
          </c:spPr>
          <c:dPt>
            <c:idx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chemeClr val="accent2">
                  <a:lumMod val="40000"/>
                  <a:lumOff val="60000"/>
                </a:schemeClr>
              </a:solidFill>
              <a:ln w="23655">
                <a:noFill/>
              </a:ln>
            </c:spPr>
          </c:dPt>
          <c:dPt>
            <c:idx val="2"/>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solidFill>
                <a:schemeClr val="accent2"/>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spPr>
              <a:solidFill>
                <a:schemeClr val="accent2">
                  <a:lumMod val="75000"/>
                </a:schemeClr>
              </a:solidFill>
              <a:ln w="23655">
                <a:noFill/>
              </a:ln>
            </c:spPr>
          </c:dPt>
          <c:dPt>
            <c:idx val="5"/>
            <c:spPr>
              <a:solidFill>
                <a:srgbClr val="C00000"/>
              </a:solidFill>
              <a:ln w="23655">
                <a:noFill/>
              </a:ln>
            </c:spPr>
          </c:dPt>
          <c:dPt>
            <c:idx val="6"/>
            <c:spPr>
              <a:solidFill>
                <a:srgbClr val="9A0000"/>
              </a:solidFill>
              <a:ln w="23655">
                <a:noFill/>
              </a:ln>
            </c:spPr>
          </c:dPt>
          <c:dPt>
            <c:idx val="7"/>
            <c:spPr>
              <a:solidFill>
                <a:srgbClr val="760000"/>
              </a:solidFill>
              <a:ln w="23655">
                <a:noFill/>
              </a:ln>
            </c:spPr>
          </c:dPt>
          <c:dPt>
            <c:idx val="8"/>
            <c:spPr>
              <a:solidFill>
                <a:srgbClr val="5C0000"/>
              </a:solidFill>
              <a:ln w="23655">
                <a:noFill/>
              </a:ln>
            </c:spPr>
          </c:dPt>
          <c:dLbls>
            <c:dLbl>
              <c:idx val="0"/>
              <c:layout>
                <c:manualLayout>
                  <c:x val="2.0764174615886858E-3"/>
                  <c:y val="-1.225880575967014E-2"/>
                </c:manualLayout>
              </c:layout>
              <c:showVal val="1"/>
            </c:dLbl>
            <c:dLbl>
              <c:idx val="1"/>
              <c:layout>
                <c:manualLayout>
                  <c:x val="4.2433696096885309E-3"/>
                  <c:y val="-1.5501450758080312E-2"/>
                </c:manualLayout>
              </c:layout>
              <c:showVal val="1"/>
            </c:dLbl>
            <c:dLbl>
              <c:idx val="2"/>
              <c:layout>
                <c:manualLayout>
                  <c:x val="2.1216848048442602E-3"/>
                  <c:y val="-2.6741119887001563E-2"/>
                </c:manualLayout>
              </c:layout>
              <c:showVal val="1"/>
            </c:dLbl>
            <c:dLbl>
              <c:idx val="3"/>
              <c:layout>
                <c:manualLayout>
                  <c:x val="3.9272886923054249E-3"/>
                  <c:y val="-2.8285689378910951E-2"/>
                </c:manualLayout>
              </c:layout>
              <c:showVal val="1"/>
            </c:dLbl>
            <c:dLbl>
              <c:idx val="4"/>
              <c:layout>
                <c:manualLayout>
                  <c:x val="-1.3030820061248235E-5"/>
                  <c:y val="-3.3948668342586877E-2"/>
                </c:manualLayout>
              </c:layout>
              <c:showVal val="1"/>
            </c:dLbl>
            <c:dLbl>
              <c:idx val="5"/>
              <c:layout>
                <c:manualLayout>
                  <c:x val="-1.6706179565702897E-7"/>
                  <c:y val="-2.8711602037831664E-2"/>
                </c:manualLayout>
              </c:layout>
              <c:showVal val="1"/>
            </c:dLbl>
            <c:dLbl>
              <c:idx val="6"/>
              <c:layout>
                <c:manualLayout>
                  <c:x val="0"/>
                  <c:y val="-2.8099172822303099E-2"/>
                </c:manualLayout>
              </c:layout>
              <c:showVal val="1"/>
            </c:dLbl>
            <c:txPr>
              <a:bodyPr/>
              <a:lstStyle/>
              <a:p>
                <a:pPr>
                  <a:defRPr sz="650" b="1" i="0" u="none" strike="noStrike" baseline="0">
                    <a:solidFill>
                      <a:srgbClr val="000000"/>
                    </a:solidFill>
                    <a:latin typeface="Tahoma"/>
                    <a:ea typeface="Tahoma"/>
                    <a:cs typeface="Tahoma"/>
                  </a:defRPr>
                </a:pPr>
                <a:endParaRPr lang="el-GR"/>
              </a:p>
            </c:txPr>
            <c:showVal val="1"/>
          </c:dLbls>
          <c:cat>
            <c:strRef>
              <c:f>Sheet1!$B$1:$L$1</c:f>
              <c:strCache>
                <c:ptCount val="11"/>
                <c:pt idx="0">
                  <c:v>Ιούλιος 2010</c:v>
                </c:pt>
                <c:pt idx="1">
                  <c:v>Ιανουάριος 2011</c:v>
                </c:pt>
                <c:pt idx="2">
                  <c:v>Ιούλιος 2011</c:v>
                </c:pt>
                <c:pt idx="3">
                  <c:v>Ιανουάριος 2012</c:v>
                </c:pt>
                <c:pt idx="4">
                  <c:v>Ιούλιος 2012</c:v>
                </c:pt>
                <c:pt idx="5">
                  <c:v>Ιανουάριος 2013</c:v>
                </c:pt>
                <c:pt idx="6">
                  <c:v>Ιούλιος 2013</c:v>
                </c:pt>
                <c:pt idx="7">
                  <c:v>Φεβρουάριος 2014</c:v>
                </c:pt>
                <c:pt idx="8">
                  <c:v>Ιούλιος 2014</c:v>
                </c:pt>
                <c:pt idx="9">
                  <c:v>Φεβρουάριος 2015</c:v>
                </c:pt>
                <c:pt idx="10">
                  <c:v>Ιούλιος 2015</c:v>
                </c:pt>
              </c:strCache>
            </c:strRef>
          </c:cat>
          <c:val>
            <c:numRef>
              <c:f>Sheet1!$B$2:$L$2</c:f>
              <c:numCache>
                <c:formatCode>General</c:formatCode>
                <c:ptCount val="11"/>
                <c:pt idx="0">
                  <c:v>15</c:v>
                </c:pt>
                <c:pt idx="1">
                  <c:v>15.6</c:v>
                </c:pt>
                <c:pt idx="2">
                  <c:v>19.399999999999999</c:v>
                </c:pt>
                <c:pt idx="3">
                  <c:v>28.6</c:v>
                </c:pt>
                <c:pt idx="4">
                  <c:v>33.200000000000003</c:v>
                </c:pt>
                <c:pt idx="5">
                  <c:v>43.6</c:v>
                </c:pt>
                <c:pt idx="6">
                  <c:v>49.3</c:v>
                </c:pt>
                <c:pt idx="7">
                  <c:v>43.5</c:v>
                </c:pt>
                <c:pt idx="8">
                  <c:v>38.5</c:v>
                </c:pt>
                <c:pt idx="9">
                  <c:v>33.9</c:v>
                </c:pt>
                <c:pt idx="10">
                  <c:v>25.2</c:v>
                </c:pt>
              </c:numCache>
            </c:numRef>
          </c:val>
        </c:ser>
        <c:shape val="box"/>
        <c:axId val="62950016"/>
        <c:axId val="63054208"/>
        <c:axId val="0"/>
      </c:bar3DChart>
      <c:catAx>
        <c:axId val="62950016"/>
        <c:scaling>
          <c:orientation val="minMax"/>
        </c:scaling>
        <c:axPos val="b"/>
        <c:numFmt formatCode="General" sourceLinked="1"/>
        <c:tickLblPos val="nextTo"/>
        <c:spPr>
          <a:ln w="2957">
            <a:solidFill>
              <a:schemeClr val="tx1"/>
            </a:solidFill>
            <a:prstDash val="solid"/>
          </a:ln>
        </c:spPr>
        <c:txPr>
          <a:bodyPr rot="-2700000" vert="horz"/>
          <a:lstStyle/>
          <a:p>
            <a:pPr>
              <a:defRPr sz="600" b="1" i="0" u="none" strike="noStrike" baseline="0">
                <a:solidFill>
                  <a:srgbClr val="000000"/>
                </a:solidFill>
                <a:latin typeface="Tahoma"/>
                <a:ea typeface="Tahoma"/>
                <a:cs typeface="Tahoma"/>
              </a:defRPr>
            </a:pPr>
            <a:endParaRPr lang="el-GR"/>
          </a:p>
        </c:txPr>
        <c:crossAx val="63054208"/>
        <c:crosses val="autoZero"/>
        <c:auto val="1"/>
        <c:lblAlgn val="ctr"/>
        <c:lblOffset val="100"/>
        <c:tickLblSkip val="1"/>
        <c:tickMarkSkip val="1"/>
      </c:catAx>
      <c:valAx>
        <c:axId val="63054208"/>
        <c:scaling>
          <c:orientation val="minMax"/>
          <c:max val="50"/>
          <c:min val="0"/>
        </c:scaling>
        <c:axPos val="l"/>
        <c:majorGridlines/>
        <c:numFmt formatCode="General" sourceLinked="1"/>
        <c:majorTickMark val="none"/>
        <c:tickLblPos val="nextTo"/>
        <c:txPr>
          <a:bodyPr rot="0" vert="horz"/>
          <a:lstStyle/>
          <a:p>
            <a:pPr>
              <a:defRPr sz="500" b="1" i="0" u="none" strike="noStrike" baseline="0">
                <a:solidFill>
                  <a:srgbClr val="000000"/>
                </a:solidFill>
                <a:latin typeface="Times New Roman"/>
                <a:ea typeface="Times New Roman"/>
                <a:cs typeface="Times New Roman"/>
              </a:defRPr>
            </a:pPr>
            <a:endParaRPr lang="el-GR"/>
          </a:p>
        </c:txPr>
        <c:crossAx val="62950016"/>
        <c:crosses val="autoZero"/>
        <c:crossBetween val="between"/>
      </c:valAx>
      <c:spPr>
        <a:noFill/>
        <a:ln w="25400">
          <a:noFill/>
        </a:ln>
      </c:spPr>
    </c:plotArea>
    <c:plotVisOnly val="1"/>
    <c:dispBlanksAs val="gap"/>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title>
      <c:layout>
        <c:manualLayout>
          <c:xMode val="edge"/>
          <c:yMode val="edge"/>
          <c:x val="0.48835602969072012"/>
          <c:y val="0"/>
        </c:manualLayout>
      </c:layout>
      <c:txPr>
        <a:bodyPr/>
        <a:lstStyle/>
        <a:p>
          <a:pPr>
            <a:defRPr sz="2010" b="1" i="0" u="none" strike="noStrike" baseline="0">
              <a:solidFill>
                <a:srgbClr val="000000"/>
              </a:solidFill>
              <a:latin typeface="Times New Roman"/>
              <a:ea typeface="Times New Roman"/>
              <a:cs typeface="Times New Roman"/>
            </a:defRPr>
          </a:pPr>
          <a:endParaRPr lang="el-GR"/>
        </a:p>
      </c:txPr>
    </c:title>
    <c:view3D>
      <c:hPercent val="72"/>
      <c:depthPercent val="60"/>
      <c:rAngAx val="1"/>
    </c:view3D>
    <c:floor>
      <c:spPr>
        <a:solidFill>
          <a:srgbClr val="C0C0C0"/>
        </a:solidFill>
        <a:ln w="3175">
          <a:solidFill>
            <a:schemeClr val="tx1"/>
          </a:solidFill>
          <a:prstDash val="solid"/>
        </a:ln>
      </c:spPr>
    </c:floor>
    <c:sideWall>
      <c:spPr>
        <a:noFill/>
        <a:ln w="25400">
          <a:noFill/>
        </a:ln>
      </c:spPr>
    </c:sideWall>
    <c:backWall>
      <c:spPr>
        <a:noFill/>
        <a:ln w="25400">
          <a:noFill/>
        </a:ln>
      </c:spPr>
    </c:backWall>
    <c:plotArea>
      <c:layout>
        <c:manualLayout>
          <c:layoutTarget val="inner"/>
          <c:xMode val="edge"/>
          <c:yMode val="edge"/>
          <c:x val="4.2678173081767835E-2"/>
          <c:y val="5.781523072327837E-2"/>
          <c:w val="0.86335002191043742"/>
          <c:h val="0.59964623066184564"/>
        </c:manualLayout>
      </c:layout>
      <c:bar3DChart>
        <c:barDir val="col"/>
        <c:grouping val="clustered"/>
        <c:ser>
          <c:idx val="1"/>
          <c:order val="0"/>
          <c:tx>
            <c:strRef>
              <c:f>Sheet1!$A$2</c:f>
              <c:strCache>
                <c:ptCount val="1"/>
              </c:strCache>
            </c:strRef>
          </c:tx>
          <c:spPr>
            <a:gradFill rotWithShape="0">
              <a:gsLst>
                <a:gs pos="0">
                  <a:srgbClr val="339966"/>
                </a:gs>
                <a:gs pos="100000">
                  <a:srgbClr val="339966">
                    <a:gamma/>
                    <a:tint val="63922"/>
                    <a:invGamma/>
                  </a:srgbClr>
                </a:gs>
              </a:gsLst>
              <a:lin ang="2700000" scaled="1"/>
            </a:gradFill>
            <a:ln w="23655">
              <a:noFill/>
            </a:ln>
          </c:spPr>
          <c:dPt>
            <c:idx val="0"/>
            <c:spPr>
              <a:solidFill>
                <a:schemeClr val="accent2">
                  <a:lumMod val="20000"/>
                  <a:lumOff val="80000"/>
                </a:schemeClr>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1"/>
            <c:spPr>
              <a:solidFill>
                <a:schemeClr val="accent2">
                  <a:lumMod val="40000"/>
                  <a:lumOff val="60000"/>
                </a:schemeClr>
              </a:solidFill>
              <a:ln w="23655">
                <a:noFill/>
              </a:ln>
            </c:spPr>
          </c:dPt>
          <c:dPt>
            <c:idx val="2"/>
            <c:spPr>
              <a:solidFill>
                <a:schemeClr val="accent2">
                  <a:lumMod val="60000"/>
                  <a:lumOff val="40000"/>
                </a:schemeClr>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3"/>
            <c:spPr>
              <a:solidFill>
                <a:schemeClr val="accent2"/>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spPr>
              <a:solidFill>
                <a:srgbClr val="B94441"/>
              </a:solidFill>
              <a:ln w="23655">
                <a:noFill/>
              </a:ln>
            </c:spPr>
          </c:dPt>
          <c:dPt>
            <c:idx val="5"/>
            <c:spPr>
              <a:solidFill>
                <a:srgbClr val="CC0000"/>
              </a:soli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6"/>
            <c:spPr>
              <a:solidFill>
                <a:srgbClr val="9A0000"/>
              </a:solidFill>
              <a:ln w="23655">
                <a:noFill/>
              </a:ln>
            </c:spPr>
          </c:dPt>
          <c:dPt>
            <c:idx val="7"/>
            <c:spPr>
              <a:solidFill>
                <a:srgbClr val="740000"/>
              </a:solidFill>
              <a:ln w="23655">
                <a:noFill/>
              </a:ln>
            </c:spPr>
          </c:dPt>
          <c:dPt>
            <c:idx val="8"/>
            <c:spPr>
              <a:solidFill>
                <a:srgbClr val="600000"/>
              </a:solidFill>
              <a:ln w="23655">
                <a:noFill/>
              </a:ln>
            </c:spPr>
          </c:dPt>
          <c:dLbls>
            <c:dLbl>
              <c:idx val="0"/>
              <c:layout>
                <c:manualLayout>
                  <c:x val="6.9007299721462172E-3"/>
                  <c:y val="-1.0418731887793324E-2"/>
                </c:manualLayout>
              </c:layout>
              <c:showVal val="1"/>
            </c:dLbl>
            <c:dLbl>
              <c:idx val="1"/>
              <c:layout>
                <c:manualLayout>
                  <c:x val="4.8244889769655562E-3"/>
                  <c:y val="-1.52350188598602E-2"/>
                </c:manualLayout>
              </c:layout>
              <c:showVal val="1"/>
            </c:dLbl>
            <c:dLbl>
              <c:idx val="2"/>
              <c:layout>
                <c:manualLayout>
                  <c:x val="8.1671060073806243E-3"/>
                  <c:y val="-1.5235227555889838E-2"/>
                </c:manualLayout>
              </c:layout>
              <c:showVal val="1"/>
            </c:dLbl>
            <c:dLbl>
              <c:idx val="3"/>
              <c:layout>
                <c:manualLayout>
                  <c:x val="-2.1216085554577242E-3"/>
                  <c:y val="-6.2948983420770014E-3"/>
                </c:manualLayout>
              </c:layout>
              <c:showVal val="1"/>
            </c:dLbl>
            <c:dLbl>
              <c:idx val="4"/>
              <c:layout>
                <c:manualLayout>
                  <c:x val="-6.3652798542902234E-3"/>
                  <c:y val="-2.8410006048870586E-2"/>
                </c:manualLayout>
              </c:layout>
              <c:showVal val="1"/>
            </c:dLbl>
            <c:dLbl>
              <c:idx val="5"/>
              <c:layout>
                <c:manualLayout>
                  <c:x val="-1.5466766498881781E-2"/>
                  <c:y val="6.0141635330541836E-3"/>
                </c:manualLayout>
              </c:layout>
              <c:showVal val="1"/>
            </c:dLbl>
            <c:dLbl>
              <c:idx val="6"/>
              <c:layout>
                <c:manualLayout>
                  <c:x val="3.4295713391485358E-3"/>
                  <c:y val="-1.3506145401920121E-2"/>
                </c:manualLayout>
              </c:layout>
              <c:showVal val="1"/>
            </c:dLbl>
            <c:dLbl>
              <c:idx val="7"/>
              <c:layout>
                <c:manualLayout>
                  <c:x val="0"/>
                  <c:y val="2.6901900841711814E-2"/>
                </c:manualLayout>
              </c:layout>
              <c:showVal val="1"/>
            </c:dLbl>
            <c:dLbl>
              <c:idx val="8"/>
              <c:layout>
                <c:manualLayout>
                  <c:x val="-3.0535954872525659E-7"/>
                  <c:y val="1.0760760336684721E-2"/>
                </c:manualLayout>
              </c:layout>
              <c:showVal val="1"/>
            </c:dLbl>
            <c:txPr>
              <a:bodyPr/>
              <a:lstStyle/>
              <a:p>
                <a:pPr>
                  <a:defRPr sz="650" b="1" i="0" u="none" strike="noStrike" baseline="0">
                    <a:solidFill>
                      <a:srgbClr val="000000"/>
                    </a:solidFill>
                    <a:latin typeface="Tahoma"/>
                    <a:ea typeface="Tahoma"/>
                    <a:cs typeface="Tahoma"/>
                  </a:defRPr>
                </a:pPr>
                <a:endParaRPr lang="el-GR"/>
              </a:p>
            </c:txPr>
            <c:showVal val="1"/>
          </c:dLbls>
          <c:cat>
            <c:strRef>
              <c:f>Sheet1!$B$1:$L$1</c:f>
              <c:strCache>
                <c:ptCount val="11"/>
                <c:pt idx="0">
                  <c:v>Ιούλιος 2010</c:v>
                </c:pt>
                <c:pt idx="1">
                  <c:v>Ιανουάριος 2011</c:v>
                </c:pt>
                <c:pt idx="2">
                  <c:v>Ιούλιος 2011</c:v>
                </c:pt>
                <c:pt idx="3">
                  <c:v>Ιανουάριος 2012</c:v>
                </c:pt>
                <c:pt idx="4">
                  <c:v>Ιούλιος 2012</c:v>
                </c:pt>
                <c:pt idx="5">
                  <c:v>Ιανουάριος 2013</c:v>
                </c:pt>
                <c:pt idx="6">
                  <c:v>Ιούλιος 2013</c:v>
                </c:pt>
                <c:pt idx="7">
                  <c:v>Φεβρουάριος 2014</c:v>
                </c:pt>
                <c:pt idx="8">
                  <c:v>Ιούλιος 2014</c:v>
                </c:pt>
                <c:pt idx="9">
                  <c:v>Φεβρουάριος 2015</c:v>
                </c:pt>
                <c:pt idx="10">
                  <c:v>Ιούλιος 2015</c:v>
                </c:pt>
              </c:strCache>
            </c:strRef>
          </c:cat>
          <c:val>
            <c:numRef>
              <c:f>Sheet1!$B$2:$L$2</c:f>
              <c:numCache>
                <c:formatCode>General</c:formatCode>
                <c:ptCount val="11"/>
                <c:pt idx="0">
                  <c:v>30</c:v>
                </c:pt>
                <c:pt idx="1">
                  <c:v>30.2</c:v>
                </c:pt>
                <c:pt idx="2">
                  <c:v>32</c:v>
                </c:pt>
                <c:pt idx="3">
                  <c:v>37.4</c:v>
                </c:pt>
                <c:pt idx="4">
                  <c:v>40.5</c:v>
                </c:pt>
                <c:pt idx="5">
                  <c:v>47.7</c:v>
                </c:pt>
                <c:pt idx="6">
                  <c:v>50.5</c:v>
                </c:pt>
                <c:pt idx="7">
                  <c:v>47.7</c:v>
                </c:pt>
                <c:pt idx="8">
                  <c:v>42.7</c:v>
                </c:pt>
                <c:pt idx="9">
                  <c:v>43</c:v>
                </c:pt>
                <c:pt idx="10">
                  <c:v>39</c:v>
                </c:pt>
              </c:numCache>
            </c:numRef>
          </c:val>
        </c:ser>
        <c:shape val="box"/>
        <c:axId val="63102976"/>
        <c:axId val="63104512"/>
        <c:axId val="0"/>
      </c:bar3DChart>
      <c:catAx>
        <c:axId val="63102976"/>
        <c:scaling>
          <c:orientation val="minMax"/>
        </c:scaling>
        <c:axPos val="b"/>
        <c:numFmt formatCode="General" sourceLinked="1"/>
        <c:tickLblPos val="nextTo"/>
        <c:spPr>
          <a:ln w="2957">
            <a:solidFill>
              <a:schemeClr val="tx1"/>
            </a:solidFill>
            <a:prstDash val="solid"/>
          </a:ln>
        </c:spPr>
        <c:txPr>
          <a:bodyPr rot="-2700000" vert="horz"/>
          <a:lstStyle/>
          <a:p>
            <a:pPr>
              <a:defRPr sz="600" b="1" i="0" u="none" strike="noStrike" baseline="0">
                <a:solidFill>
                  <a:srgbClr val="000000"/>
                </a:solidFill>
                <a:latin typeface="Tahoma"/>
                <a:ea typeface="Tahoma"/>
                <a:cs typeface="Tahoma"/>
              </a:defRPr>
            </a:pPr>
            <a:endParaRPr lang="el-GR"/>
          </a:p>
        </c:txPr>
        <c:crossAx val="63104512"/>
        <c:crosses val="autoZero"/>
        <c:auto val="1"/>
        <c:lblAlgn val="ctr"/>
        <c:lblOffset val="100"/>
        <c:tickLblSkip val="1"/>
        <c:tickMarkSkip val="1"/>
      </c:catAx>
      <c:valAx>
        <c:axId val="63104512"/>
        <c:scaling>
          <c:orientation val="minMax"/>
          <c:max val="50"/>
          <c:min val="0"/>
        </c:scaling>
        <c:axPos val="l"/>
        <c:majorGridlines/>
        <c:numFmt formatCode="General" sourceLinked="1"/>
        <c:majorTickMark val="none"/>
        <c:tickLblPos val="nextTo"/>
        <c:txPr>
          <a:bodyPr rot="0" vert="horz"/>
          <a:lstStyle/>
          <a:p>
            <a:pPr>
              <a:defRPr sz="500" b="1" i="0" u="none" strike="noStrike" baseline="0">
                <a:solidFill>
                  <a:srgbClr val="000000"/>
                </a:solidFill>
                <a:latin typeface="Times New Roman"/>
                <a:ea typeface="Times New Roman"/>
                <a:cs typeface="Times New Roman"/>
              </a:defRPr>
            </a:pPr>
            <a:endParaRPr lang="el-GR"/>
          </a:p>
        </c:txPr>
        <c:crossAx val="63102976"/>
        <c:crosses val="autoZero"/>
        <c:crossBetween val="between"/>
      </c:valAx>
      <c:spPr>
        <a:noFill/>
        <a:ln w="25400">
          <a:noFill/>
        </a:ln>
      </c:spPr>
    </c:plotArea>
    <c:plotVisOnly val="1"/>
    <c:dispBlanksAs val="gap"/>
  </c:chart>
  <c:spPr>
    <a:noFill/>
    <a:ln>
      <a:noFill/>
    </a:ln>
  </c:spPr>
  <c:txPr>
    <a:bodyPr/>
    <a:lstStyle/>
    <a:p>
      <a:pPr>
        <a:defRPr sz="1675" b="1" i="0" u="none" strike="noStrike" baseline="0">
          <a:solidFill>
            <a:srgbClr val="000000"/>
          </a:solidFill>
          <a:latin typeface="Times New Roman"/>
          <a:ea typeface="Times New Roman"/>
          <a:cs typeface="Times New Roman"/>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style val="18"/>
  <c:chart>
    <c:view3D>
      <c:depthPercent val="100"/>
      <c:perspective val="0"/>
    </c:view3D>
    <c:plotArea>
      <c:layout>
        <c:manualLayout>
          <c:layoutTarget val="inner"/>
          <c:xMode val="edge"/>
          <c:yMode val="edge"/>
          <c:x val="0"/>
          <c:y val="2.003311891266743E-2"/>
          <c:w val="0.99417684946185558"/>
          <c:h val="0.89351469406692308"/>
        </c:manualLayout>
      </c:layout>
      <c:bar3DChart>
        <c:barDir val="col"/>
        <c:grouping val="standard"/>
        <c:ser>
          <c:idx val="0"/>
          <c:order val="0"/>
          <c:tx>
            <c:strRef>
              <c:f>Sheet1!$A$2</c:f>
              <c:strCache>
                <c:ptCount val="1"/>
                <c:pt idx="0">
                  <c:v>Ιούλιος 2015</c:v>
                </c:pt>
              </c:strCache>
            </c:strRef>
          </c:tx>
          <c:dLbls>
            <c:dLbl>
              <c:idx val="0"/>
              <c:layout>
                <c:manualLayout>
                  <c:x val="-7.8640569372990278E-3"/>
                  <c:y val="-2.9212601406023879E-2"/>
                </c:manualLayout>
              </c:layout>
              <c:showVal val="1"/>
            </c:dLbl>
            <c:dLbl>
              <c:idx val="1"/>
              <c:layout>
                <c:manualLayout>
                  <c:x val="1.8185880362170198E-2"/>
                  <c:y val="-6.9148637483053832E-3"/>
                </c:manualLayout>
              </c:layout>
              <c:showVal val="1"/>
            </c:dLbl>
            <c:dLbl>
              <c:idx val="2"/>
              <c:layout>
                <c:manualLayout>
                  <c:x val="1.9463765666106043E-2"/>
                  <c:y val="-9.8301715466890573E-3"/>
                </c:manualLayout>
              </c:layout>
              <c:showVal val="1"/>
            </c:dLbl>
            <c:dLbl>
              <c:idx val="3"/>
              <c:layout>
                <c:manualLayout>
                  <c:x val="6.9594715382034116E-3"/>
                  <c:y val="-9.1713420016255962E-3"/>
                </c:manualLayout>
              </c:layout>
              <c:showVal val="1"/>
            </c:dLbl>
            <c:dLbl>
              <c:idx val="4"/>
              <c:layout>
                <c:manualLayout>
                  <c:x val="9.360056674382734E-3"/>
                  <c:y val="-7.6756488474752074E-3"/>
                </c:manualLayout>
              </c:layout>
              <c:showVal val="1"/>
            </c:dLbl>
            <c:dLbl>
              <c:idx val="5"/>
              <c:layout>
                <c:manualLayout>
                  <c:x val="9.3582881789788189E-3"/>
                  <c:y val="-1.5808803836220051E-2"/>
                </c:manualLayout>
              </c:layout>
              <c:showVal val="1"/>
            </c:dLbl>
            <c:dLbl>
              <c:idx val="6"/>
              <c:layout>
                <c:manualLayout>
                  <c:x val="1.122287183315899E-2"/>
                  <c:y val="-6.1261314414108783E-3"/>
                </c:manualLayout>
              </c:layout>
              <c:showVal val="1"/>
            </c:dLbl>
            <c:txPr>
              <a:bodyPr/>
              <a:lstStyle/>
              <a:p>
                <a:pPr>
                  <a:defRPr sz="900" b="1" i="0" u="none" strike="noStrike" baseline="0">
                    <a:solidFill>
                      <a:srgbClr val="000000"/>
                    </a:solidFill>
                    <a:latin typeface="Tahoma"/>
                    <a:ea typeface="Tahoma"/>
                    <a:cs typeface="Tahoma"/>
                  </a:defRPr>
                </a:pPr>
                <a:endParaRPr lang="el-GR"/>
              </a:p>
            </c:txPr>
            <c:showVal val="1"/>
          </c:dLbls>
          <c:cat>
            <c:strRef>
              <c:f>Sheet1!$B$1:$J$1</c:f>
              <c:strCache>
                <c:ptCount val="7"/>
                <c:pt idx="0">
                  <c:v>Στον ΟΑΕΕ </c:v>
                </c:pt>
                <c:pt idx="1">
                  <c:v>Στην εφορία </c:v>
                </c:pt>
                <c:pt idx="2">
                  <c:v>Σε ΔΕΚΟ</c:v>
                </c:pt>
                <c:pt idx="3">
                  <c:v>Σε προμηθευτές</c:v>
                </c:pt>
                <c:pt idx="4">
                  <c:v>Ενοικίου</c:v>
                </c:pt>
                <c:pt idx="5">
                  <c:v>Σε δόσεις για δάνεια</c:v>
                </c:pt>
                <c:pt idx="6">
                  <c:v>Στο ΙΚΑ </c:v>
                </c:pt>
              </c:strCache>
            </c:strRef>
          </c:cat>
          <c:val>
            <c:numRef>
              <c:f>Sheet1!$B$2:$H$2</c:f>
              <c:numCache>
                <c:formatCode>General</c:formatCode>
                <c:ptCount val="7"/>
                <c:pt idx="0">
                  <c:v>35.6</c:v>
                </c:pt>
                <c:pt idx="1">
                  <c:v>29.5</c:v>
                </c:pt>
                <c:pt idx="2">
                  <c:v>29.1</c:v>
                </c:pt>
                <c:pt idx="3">
                  <c:v>24.1</c:v>
                </c:pt>
                <c:pt idx="4">
                  <c:v>23.6</c:v>
                </c:pt>
                <c:pt idx="5">
                  <c:v>16.3</c:v>
                </c:pt>
                <c:pt idx="6">
                  <c:v>12.6</c:v>
                </c:pt>
              </c:numCache>
            </c:numRef>
          </c:val>
        </c:ser>
        <c:ser>
          <c:idx val="2"/>
          <c:order val="1"/>
          <c:tx>
            <c:strRef>
              <c:f>Sheet1!$A$3</c:f>
              <c:strCache>
                <c:ptCount val="1"/>
                <c:pt idx="0">
                  <c:v>Φεβρουάριος 2015</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Lbls>
            <c:dLbl>
              <c:idx val="0"/>
              <c:layout>
                <c:manualLayout>
                  <c:x val="2.0490172207029141E-2"/>
                  <c:y val="-2.4422558946427027E-2"/>
                </c:manualLayout>
              </c:layout>
              <c:showVal val="1"/>
            </c:dLbl>
            <c:dLbl>
              <c:idx val="1"/>
              <c:layout>
                <c:manualLayout>
                  <c:x val="2.2395755811028938E-2"/>
                  <c:y val="-1.8138941470617766E-2"/>
                </c:manualLayout>
              </c:layout>
              <c:showVal val="1"/>
            </c:dLbl>
            <c:dLbl>
              <c:idx val="2"/>
              <c:layout>
                <c:manualLayout>
                  <c:x val="1.8627480338807009E-2"/>
                  <c:y val="-1.7718478103825323E-2"/>
                </c:manualLayout>
              </c:layout>
              <c:showVal val="1"/>
            </c:dLbl>
            <c:dLbl>
              <c:idx val="3"/>
              <c:layout>
                <c:manualLayout>
                  <c:x val="1.6774099519351281E-2"/>
                  <c:y val="-1.6457332886014513E-2"/>
                </c:manualLayout>
              </c:layout>
              <c:showVal val="1"/>
            </c:dLbl>
            <c:dLbl>
              <c:idx val="4"/>
              <c:layout>
                <c:manualLayout>
                  <c:x val="2.0490154615093792E-2"/>
                  <c:y val="-2.3518031927789028E-2"/>
                </c:manualLayout>
              </c:layout>
              <c:showVal val="1"/>
            </c:dLbl>
            <c:dLbl>
              <c:idx val="5"/>
              <c:layout>
                <c:manualLayout>
                  <c:x val="1.4987543079966657E-2"/>
                  <c:y val="-9.3300257861342606E-3"/>
                </c:manualLayout>
              </c:layout>
              <c:showVal val="1"/>
            </c:dLbl>
            <c:dLbl>
              <c:idx val="6"/>
              <c:layout>
                <c:manualLayout>
                  <c:x val="5.6203286549874974E-3"/>
                  <c:y val="-2.4438256840306576E-2"/>
                </c:manualLayout>
              </c:layout>
              <c:showVal val="1"/>
            </c:dLbl>
            <c:txPr>
              <a:bodyPr/>
              <a:lstStyle/>
              <a:p>
                <a:pPr>
                  <a:defRPr sz="900" b="1" i="0" u="none" strike="noStrike" baseline="0">
                    <a:solidFill>
                      <a:srgbClr val="000000"/>
                    </a:solidFill>
                    <a:latin typeface="Tahoma"/>
                    <a:ea typeface="Tahoma"/>
                    <a:cs typeface="Tahoma"/>
                  </a:defRPr>
                </a:pPr>
                <a:endParaRPr lang="el-GR"/>
              </a:p>
            </c:txPr>
            <c:showVal val="1"/>
          </c:dLbls>
          <c:cat>
            <c:strRef>
              <c:f>Sheet1!$B$1:$J$1</c:f>
              <c:strCache>
                <c:ptCount val="7"/>
                <c:pt idx="0">
                  <c:v>Στον ΟΑΕΕ </c:v>
                </c:pt>
                <c:pt idx="1">
                  <c:v>Στην εφορία </c:v>
                </c:pt>
                <c:pt idx="2">
                  <c:v>Σε ΔΕΚΟ</c:v>
                </c:pt>
                <c:pt idx="3">
                  <c:v>Σε προμηθευτές</c:v>
                </c:pt>
                <c:pt idx="4">
                  <c:v>Ενοικίου</c:v>
                </c:pt>
                <c:pt idx="5">
                  <c:v>Σε δόσεις για δάνεια</c:v>
                </c:pt>
                <c:pt idx="6">
                  <c:v>Στο ΙΚΑ </c:v>
                </c:pt>
              </c:strCache>
            </c:strRef>
          </c:cat>
          <c:val>
            <c:numRef>
              <c:f>Sheet1!$B$3:$H$3</c:f>
              <c:numCache>
                <c:formatCode>General</c:formatCode>
                <c:ptCount val="7"/>
                <c:pt idx="0">
                  <c:v>38.1</c:v>
                </c:pt>
                <c:pt idx="1">
                  <c:v>31.9</c:v>
                </c:pt>
                <c:pt idx="2">
                  <c:v>25.5</c:v>
                </c:pt>
                <c:pt idx="3">
                  <c:v>23.8</c:v>
                </c:pt>
                <c:pt idx="4">
                  <c:v>17.899999999999999</c:v>
                </c:pt>
                <c:pt idx="5">
                  <c:v>15.7</c:v>
                </c:pt>
                <c:pt idx="6">
                  <c:v>13</c:v>
                </c:pt>
              </c:numCache>
            </c:numRef>
          </c:val>
        </c:ser>
        <c:shape val="box"/>
        <c:axId val="63301888"/>
        <c:axId val="63385600"/>
        <c:axId val="23059520"/>
      </c:bar3DChart>
      <c:catAx>
        <c:axId val="63301888"/>
        <c:scaling>
          <c:orientation val="minMax"/>
        </c:scaling>
        <c:axPos val="b"/>
        <c:numFmt formatCode="General" sourceLinked="1"/>
        <c:majorTickMark val="none"/>
        <c:tickLblPos val="nextTo"/>
        <c:txPr>
          <a:bodyPr rot="0" vert="horz"/>
          <a:lstStyle/>
          <a:p>
            <a:pPr>
              <a:defRPr sz="850" b="1" i="0" u="none" strike="noStrike" baseline="0">
                <a:solidFill>
                  <a:srgbClr val="000000"/>
                </a:solidFill>
                <a:latin typeface="Tahoma"/>
                <a:ea typeface="Tahoma"/>
                <a:cs typeface="Tahoma"/>
              </a:defRPr>
            </a:pPr>
            <a:endParaRPr lang="el-GR"/>
          </a:p>
        </c:txPr>
        <c:crossAx val="63385600"/>
        <c:crosses val="autoZero"/>
        <c:auto val="1"/>
        <c:lblAlgn val="ctr"/>
        <c:lblOffset val="100"/>
      </c:catAx>
      <c:valAx>
        <c:axId val="63385600"/>
        <c:scaling>
          <c:orientation val="minMax"/>
        </c:scaling>
        <c:delete val="1"/>
        <c:axPos val="l"/>
        <c:numFmt formatCode="General" sourceLinked="1"/>
        <c:tickLblPos val="none"/>
        <c:crossAx val="63301888"/>
        <c:crosses val="autoZero"/>
        <c:crossBetween val="between"/>
      </c:valAx>
      <c:serAx>
        <c:axId val="23059520"/>
        <c:scaling>
          <c:orientation val="minMax"/>
        </c:scaling>
        <c:delete val="1"/>
        <c:axPos val="b"/>
        <c:tickLblPos val="none"/>
        <c:crossAx val="63385600"/>
        <c:crosses val="autoZero"/>
      </c:serAx>
      <c:spPr>
        <a:noFill/>
        <a:ln w="25401">
          <a:noFill/>
        </a:ln>
      </c:spPr>
    </c:plotArea>
    <c:legend>
      <c:legendPos val="t"/>
      <c:layout>
        <c:manualLayout>
          <c:xMode val="edge"/>
          <c:yMode val="edge"/>
          <c:x val="0.33571009290643261"/>
          <c:y val="1.8660195335455806E-2"/>
          <c:w val="0.30984511075128784"/>
          <c:h val="5.9394803216723725E-2"/>
        </c:manualLayout>
      </c:layout>
      <c:txPr>
        <a:bodyPr/>
        <a:lstStyle/>
        <a:p>
          <a:pPr>
            <a:defRPr sz="755" b="1" i="0" u="none" strike="noStrike" baseline="0">
              <a:solidFill>
                <a:srgbClr val="000000"/>
              </a:solidFill>
              <a:latin typeface="Tahoma"/>
              <a:ea typeface="Tahoma"/>
              <a:cs typeface="Tahoma"/>
            </a:defRPr>
          </a:pPr>
          <a:endParaRPr lang="el-GR"/>
        </a:p>
      </c:txPr>
    </c:legend>
    <c:plotVisOnly val="1"/>
    <c:dispBlanksAs val="zero"/>
  </c:chart>
  <c:spPr>
    <a:noFill/>
    <a:ln>
      <a:noFill/>
    </a:ln>
  </c:spPr>
  <c:txPr>
    <a:bodyPr/>
    <a:lstStyle/>
    <a:p>
      <a:pPr>
        <a:defRPr sz="1000" b="0" i="0" u="none" strike="noStrike" baseline="0">
          <a:solidFill>
            <a:srgbClr val="000000"/>
          </a:solidFill>
          <a:latin typeface="Calibri"/>
          <a:ea typeface="Calibri"/>
          <a:cs typeface="Calibri"/>
        </a:defRPr>
      </a:pPr>
      <a:endParaRPr lang="el-G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1923682107463131"/>
          <c:y val="0.14295264178432895"/>
          <c:w val="0.72911574001514223"/>
          <c:h val="0.85424285693256663"/>
        </c:manualLayout>
      </c:layout>
      <c:pie3DChart>
        <c:varyColors val="1"/>
        <c:ser>
          <c:idx val="0"/>
          <c:order val="0"/>
          <c:spPr>
            <a:solidFill>
              <a:schemeClr val="accent1"/>
            </a:solidFill>
            <a:ln w="11809">
              <a:solidFill>
                <a:schemeClr val="tx1"/>
              </a:solidFill>
              <a:prstDash val="solid"/>
            </a:ln>
          </c:spPr>
          <c:explosion val="31"/>
          <c:dPt>
            <c:idx val="0"/>
            <c:explosion val="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explosion val="15"/>
          </c:dPt>
          <c:dPt>
            <c:idx val="3"/>
            <c:explosion val="3"/>
            <c:spPr>
              <a:solidFill>
                <a:schemeClr val="tx1">
                  <a:lumMod val="50000"/>
                  <a:lumOff val="50000"/>
                </a:schemeClr>
              </a:solidFill>
              <a:ln w="11809">
                <a:solidFill>
                  <a:schemeClr val="tx1">
                    <a:lumMod val="50000"/>
                    <a:lumOff val="50000"/>
                  </a:schemeClr>
                </a:solidFill>
                <a:prstDash val="solid"/>
              </a:ln>
            </c:spPr>
          </c:dPt>
          <c:dLbls>
            <c:dLbl>
              <c:idx val="0"/>
              <c:layout>
                <c:manualLayout>
                  <c:x val="-5.4758052331020823E-2"/>
                  <c:y val="-0.16810684194719341"/>
                </c:manualLayout>
              </c:layout>
              <c:dLblPos val="bestFit"/>
              <c:showCatName val="1"/>
              <c:showPercent val="1"/>
            </c:dLbl>
            <c:dLbl>
              <c:idx val="1"/>
              <c:layout>
                <c:manualLayout>
                  <c:x val="-6.0261191478489566E-2"/>
                  <c:y val="-3.1815649725070873E-2"/>
                </c:manualLayout>
              </c:layout>
              <c:dLblPos val="bestFit"/>
              <c:showCatName val="1"/>
              <c:showPercent val="1"/>
            </c:dLbl>
            <c:dLbl>
              <c:idx val="2"/>
              <c:layout>
                <c:manualLayout>
                  <c:x val="1.9052355369571599E-2"/>
                  <c:y val="1.6165532703173977E-2"/>
                </c:manualLayout>
              </c:layout>
              <c:dLblPos val="bestFit"/>
              <c:showCatName val="1"/>
              <c:showPercent val="1"/>
            </c:dLbl>
            <c:dLbl>
              <c:idx val="3"/>
              <c:layout>
                <c:manualLayout>
                  <c:x val="6.1775813871886492E-2"/>
                  <c:y val="-3.5996787960830369E-2"/>
                </c:manualLayout>
              </c:layout>
              <c:tx>
                <c:rich>
                  <a:bodyPr/>
                  <a:lstStyle/>
                  <a:p>
                    <a:pPr>
                      <a:defRPr sz="800" b="1" i="0" u="none" strike="noStrike" baseline="0">
                        <a:solidFill>
                          <a:srgbClr val="000000"/>
                        </a:solidFill>
                        <a:latin typeface="Times New Roman"/>
                        <a:ea typeface="Times New Roman"/>
                        <a:cs typeface="Times New Roman"/>
                      </a:defRPr>
                    </a:pPr>
                    <a:r>
                      <a:rPr lang="el-GR" sz="800" b="1" i="0" u="none" strike="noStrike" baseline="0">
                        <a:solidFill>
                          <a:srgbClr val="000000"/>
                        </a:solidFill>
                        <a:latin typeface="Tahoma"/>
                        <a:ea typeface="Tahoma"/>
                        <a:cs typeface="Tahoma"/>
                      </a:rPr>
                      <a:t>ΔΑ</a:t>
                    </a:r>
                  </a:p>
                  <a:p>
                    <a:pPr>
                      <a:defRPr sz="800" b="1" i="0" u="none" strike="noStrike" baseline="0">
                        <a:solidFill>
                          <a:srgbClr val="000000"/>
                        </a:solidFill>
                        <a:latin typeface="Times New Roman"/>
                        <a:ea typeface="Times New Roman"/>
                        <a:cs typeface="Times New Roman"/>
                      </a:defRPr>
                    </a:pPr>
                    <a:r>
                      <a:rPr lang="el-GR" sz="800" b="1" i="0" u="none" strike="noStrike" baseline="0">
                        <a:solidFill>
                          <a:srgbClr val="000000"/>
                        </a:solidFill>
                        <a:latin typeface="Tahoma"/>
                        <a:ea typeface="Tahoma"/>
                        <a:cs typeface="Tahoma"/>
                      </a:rPr>
                      <a:t>13%</a:t>
                    </a:r>
                    <a:endParaRPr lang="el-GR" sz="900" b="1" i="0" u="none" strike="noStrike" baseline="0">
                      <a:solidFill>
                        <a:srgbClr val="000000"/>
                      </a:solidFill>
                      <a:latin typeface="Tahoma"/>
                      <a:ea typeface="Tahoma"/>
                      <a:cs typeface="Tahoma"/>
                    </a:endParaRPr>
                  </a:p>
                </c:rich>
              </c:tx>
              <c:numFmt formatCode="0.0%" sourceLinked="0"/>
              <c:spPr>
                <a:noFill/>
                <a:ln w="23617">
                  <a:noFill/>
                </a:ln>
              </c:spPr>
              <c:dLblPos val="bestFit"/>
            </c:dLbl>
            <c:dLbl>
              <c:idx val="4"/>
              <c:layout>
                <c:manualLayout>
                  <c:x val="2.436830743255659E-2"/>
                  <c:y val="-5.3411779252542924E-2"/>
                </c:manualLayout>
              </c:layout>
              <c:dLblPos val="bestFit"/>
              <c:showCatName val="1"/>
              <c:showPercent val="1"/>
            </c:dLbl>
            <c:dLbl>
              <c:idx val="5"/>
              <c:layout>
                <c:manualLayout>
                  <c:x val="1.499010459128782E-2"/>
                  <c:y val="-5.5974121573469295E-2"/>
                </c:manualLayout>
              </c:layout>
              <c:dLblPos val="bestFit"/>
              <c:showCatName val="1"/>
              <c:showPercent val="1"/>
            </c:dLbl>
            <c:numFmt formatCode="0.0%" sourceLinked="0"/>
            <c:spPr>
              <a:noFill/>
              <a:ln w="23617">
                <a:noFill/>
              </a:ln>
            </c:spPr>
            <c:txPr>
              <a:bodyPr/>
              <a:lstStyle/>
              <a:p>
                <a:pPr>
                  <a:defRPr sz="800" b="1" i="0" u="none" strike="noStrike" baseline="0">
                    <a:solidFill>
                      <a:srgbClr val="000000"/>
                    </a:solidFill>
                    <a:latin typeface="Tahoma"/>
                    <a:ea typeface="Tahoma"/>
                    <a:cs typeface="Tahoma"/>
                  </a:defRPr>
                </a:pPr>
                <a:endParaRPr lang="el-GR"/>
              </a:p>
            </c:txPr>
            <c:showCatName val="1"/>
            <c:showPercent val="1"/>
          </c:dLbls>
          <c:cat>
            <c:strRef>
              <c:f>Sheet1!$B$1:$E$1</c:f>
              <c:strCache>
                <c:ptCount val="4"/>
                <c:pt idx="0">
                  <c:v>Ναι</c:v>
                </c:pt>
                <c:pt idx="1">
                  <c:v>Όχι</c:v>
                </c:pt>
                <c:pt idx="2">
                  <c:v>Έχω υπαχθεί σε άλλη ρύθμιση</c:v>
                </c:pt>
                <c:pt idx="3">
                  <c:v>Δ Α</c:v>
                </c:pt>
              </c:strCache>
            </c:strRef>
          </c:cat>
          <c:val>
            <c:numRef>
              <c:f>Sheet1!$B$2:$E$2</c:f>
              <c:numCache>
                <c:formatCode>General</c:formatCode>
                <c:ptCount val="4"/>
                <c:pt idx="0">
                  <c:v>30.5</c:v>
                </c:pt>
                <c:pt idx="1">
                  <c:v>67.099999999999994</c:v>
                </c:pt>
                <c:pt idx="2">
                  <c:v>1.4</c:v>
                </c:pt>
                <c:pt idx="3">
                  <c:v>1</c:v>
                </c:pt>
              </c:numCache>
            </c:numRef>
          </c:val>
        </c:ser>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32"/>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bar3DChart>
        <c:barDir val="bar"/>
        <c:grouping val="stacked"/>
        <c:ser>
          <c:idx val="1"/>
          <c:order val="0"/>
          <c:tx>
            <c:strRef>
              <c:f>Sheet1!$A$2</c:f>
              <c:strCache>
                <c:ptCount val="1"/>
              </c:strCache>
            </c:strRef>
          </c:tx>
          <c:spPr>
            <a:gradFill rotWithShape="0">
              <a:gsLst>
                <a:gs pos="0">
                  <a:srgbClr val="008000"/>
                </a:gs>
                <a:gs pos="100000">
                  <a:srgbClr val="FEFEFE">
                    <a:gamma/>
                    <a:tint val="63922"/>
                    <a:invGamma/>
                  </a:srgbClr>
                </a:gs>
              </a:gsLst>
              <a:lin ang="2700000" scaled="1"/>
            </a:gradFill>
            <a:ln w="25402">
              <a:noFill/>
            </a:ln>
          </c:spPr>
          <c:dPt>
            <c:idx val="1"/>
            <c:spPr>
              <a:solidFill>
                <a:srgbClr val="800000"/>
              </a:solidFill>
              <a:ln w="25402">
                <a:noFill/>
              </a:ln>
            </c:spPr>
          </c:dPt>
          <c:dPt>
            <c:idx val="2"/>
            <c:spPr>
              <a:solidFill>
                <a:srgbClr val="800000"/>
              </a:solidFill>
              <a:ln w="25402">
                <a:noFill/>
              </a:ln>
            </c:spPr>
          </c:dPt>
          <c:dPt>
            <c:idx val="3"/>
            <c:spPr>
              <a:solidFill>
                <a:srgbClr val="800000"/>
              </a:solidFill>
              <a:ln w="25402">
                <a:noFill/>
              </a:ln>
            </c:spPr>
          </c:dPt>
          <c:dPt>
            <c:idx val="4"/>
            <c:spPr>
              <a:solidFill>
                <a:srgbClr val="800000"/>
              </a:solidFill>
              <a:ln w="25402">
                <a:noFill/>
              </a:ln>
            </c:spPr>
          </c:dPt>
          <c:dPt>
            <c:idx val="5"/>
            <c:spPr>
              <a:solidFill>
                <a:srgbClr val="808080"/>
              </a:solidFill>
              <a:ln w="25402">
                <a:noFill/>
              </a:ln>
            </c:spPr>
          </c:dPt>
          <c:dPt>
            <c:idx val="6"/>
            <c:spPr>
              <a:solidFill>
                <a:srgbClr val="333300"/>
              </a:solidFill>
              <a:ln w="25402">
                <a:noFill/>
              </a:ln>
            </c:spPr>
          </c:dPt>
          <c:dPt>
            <c:idx val="7"/>
            <c:spPr>
              <a:gradFill rotWithShape="0">
                <a:gsLst>
                  <a:gs pos="0">
                    <a:srgbClr val="FF0000"/>
                  </a:gs>
                  <a:gs pos="100000">
                    <a:srgbClr val="FFFEFE">
                      <a:gamma/>
                      <a:tint val="63922"/>
                      <a:invGamma/>
                    </a:srgbClr>
                  </a:gs>
                </a:gsLst>
                <a:lin ang="2700000" scaled="1"/>
              </a:gradFill>
              <a:ln w="25402">
                <a:noFill/>
              </a:ln>
            </c:spPr>
          </c:dPt>
          <c:dPt>
            <c:idx val="8"/>
            <c:spPr>
              <a:gradFill rotWithShape="0">
                <a:gsLst>
                  <a:gs pos="0">
                    <a:srgbClr val="800080"/>
                  </a:gs>
                  <a:gs pos="100000">
                    <a:srgbClr val="CCCCFF"/>
                  </a:gs>
                </a:gsLst>
                <a:lin ang="2700000" scaled="1"/>
              </a:gradFill>
              <a:ln w="25402">
                <a:noFill/>
              </a:ln>
            </c:spPr>
          </c:dPt>
          <c:dPt>
            <c:idx val="9"/>
            <c:spPr>
              <a:gradFill rotWithShape="0">
                <a:gsLst>
                  <a:gs pos="0">
                    <a:srgbClr val="D1C39F"/>
                  </a:gs>
                  <a:gs pos="35001">
                    <a:srgbClr val="F0EBD5"/>
                  </a:gs>
                  <a:gs pos="100000">
                    <a:srgbClr val="FFEFD1"/>
                  </a:gs>
                </a:gsLst>
                <a:lin ang="2700000" scaled="1"/>
              </a:gradFill>
              <a:ln w="25402">
                <a:noFill/>
              </a:ln>
            </c:spPr>
          </c:dPt>
          <c:dLbls>
            <c:dLbl>
              <c:idx val="0"/>
              <c:layout>
                <c:manualLayout>
                  <c:x val="5.0001241398879175E-2"/>
                  <c:y val="-1.3083634815918297E-2"/>
                </c:manualLayout>
              </c:layout>
              <c:showVal val="1"/>
            </c:dLbl>
            <c:dLbl>
              <c:idx val="1"/>
              <c:layout>
                <c:manualLayout>
                  <c:x val="9.2108604667659785E-2"/>
                  <c:y val="6.8277951742518736E-3"/>
                </c:manualLayout>
              </c:layout>
              <c:showVal val="1"/>
            </c:dLbl>
            <c:dLbl>
              <c:idx val="2"/>
              <c:layout>
                <c:manualLayout>
                  <c:x val="0.1085594452720437"/>
                  <c:y val="1.8063823103193183E-2"/>
                </c:manualLayout>
              </c:layout>
              <c:showVal val="1"/>
            </c:dLbl>
            <c:dLbl>
              <c:idx val="3"/>
              <c:layout>
                <c:manualLayout>
                  <c:x val="0.11031620202880046"/>
                  <c:y val="1.3855430233383009E-2"/>
                </c:manualLayout>
              </c:layout>
              <c:showVal val="1"/>
            </c:dLbl>
            <c:dLbl>
              <c:idx val="4"/>
              <c:layout>
                <c:manualLayout>
                  <c:x val="0.14852610484500278"/>
                  <c:y val="8.0989876265466828E-3"/>
                </c:manualLayout>
              </c:layout>
              <c:showVal val="1"/>
            </c:dLbl>
            <c:dLbl>
              <c:idx val="5"/>
              <c:layout>
                <c:manualLayout>
                  <c:x val="0.1154518152777209"/>
                  <c:y val="-2.9495588380482425E-3"/>
                </c:manualLayout>
              </c:layout>
              <c:showVal val="1"/>
            </c:dLbl>
            <c:dLbl>
              <c:idx val="6"/>
              <c:layout>
                <c:manualLayout>
                  <c:x val="4.9934693410940562E-2"/>
                  <c:y val="-2.9226214421936292E-2"/>
                </c:manualLayout>
              </c:layout>
              <c:showVal val="1"/>
            </c:dLbl>
            <c:dLbl>
              <c:idx val="7"/>
              <c:layout>
                <c:manualLayout>
                  <c:xMode val="edge"/>
                  <c:yMode val="edge"/>
                  <c:x val="0.2237851662404092"/>
                  <c:y val="0.84094754653130355"/>
                </c:manualLayout>
              </c:layout>
              <c:numFmt formatCode="0.0" sourceLinked="0"/>
              <c:spPr>
                <a:noFill/>
                <a:ln w="25402">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8"/>
              <c:layout>
                <c:manualLayout>
                  <c:xMode val="edge"/>
                  <c:yMode val="edge"/>
                  <c:x val="0.52685421994884962"/>
                  <c:y val="0.84433164128595606"/>
                </c:manualLayout>
              </c:layout>
              <c:numFmt formatCode="0.0" sourceLinked="0"/>
              <c:spPr>
                <a:noFill/>
                <a:ln w="25402">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9"/>
              <c:layout>
                <c:manualLayout>
                  <c:xMode val="edge"/>
                  <c:yMode val="edge"/>
                  <c:x val="0.25703324808184125"/>
                  <c:y val="0.83587140439932406"/>
                </c:manualLayout>
              </c:layout>
              <c:numFmt formatCode="0.0" sourceLinked="0"/>
              <c:spPr>
                <a:noFill/>
                <a:ln w="25402">
                  <a:noFill/>
                </a:ln>
              </c:spPr>
              <c:txPr>
                <a:bodyPr/>
                <a:lstStyle/>
                <a:p>
                  <a:pPr>
                    <a:defRPr sz="875" b="1" i="0" u="none" strike="noStrike" baseline="0">
                      <a:solidFill>
                        <a:srgbClr val="000000"/>
                      </a:solidFill>
                      <a:latin typeface="Tahoma"/>
                      <a:ea typeface="Tahoma"/>
                      <a:cs typeface="Tahoma"/>
                    </a:defRPr>
                  </a:pPr>
                  <a:endParaRPr lang="el-GR"/>
                </a:p>
              </c:txPr>
              <c:showVal val="1"/>
            </c:dLbl>
            <c:numFmt formatCode="0.0" sourceLinked="0"/>
            <c:spPr>
              <a:noFill/>
              <a:ln w="25402">
                <a:noFill/>
              </a:ln>
            </c:spPr>
            <c:txPr>
              <a:bodyPr/>
              <a:lstStyle/>
              <a:p>
                <a:pPr>
                  <a:defRPr sz="1000" b="1" i="0" u="none" strike="noStrike" baseline="0">
                    <a:solidFill>
                      <a:srgbClr val="000000"/>
                    </a:solidFill>
                    <a:latin typeface="Tahoma"/>
                    <a:ea typeface="Tahoma"/>
                    <a:cs typeface="Tahoma"/>
                  </a:defRPr>
                </a:pPr>
                <a:endParaRPr lang="el-GR"/>
              </a:p>
            </c:txPr>
            <c:showVal val="1"/>
          </c:dLbls>
          <c:cat>
            <c:strRef>
              <c:f>Sheet1!$B$1:$H$1</c:f>
              <c:strCache>
                <c:ptCount val="7"/>
                <c:pt idx="0">
                  <c:v>Αύξηση</c:v>
                </c:pt>
                <c:pt idx="1">
                  <c:v>Μείωση έως 20%</c:v>
                </c:pt>
                <c:pt idx="2">
                  <c:v>Μείωση 20-50%</c:v>
                </c:pt>
                <c:pt idx="3">
                  <c:v>Μείωση 50-70%</c:v>
                </c:pt>
                <c:pt idx="4">
                  <c:v>Μείωση άνω του 70%</c:v>
                </c:pt>
                <c:pt idx="5">
                  <c:v>Δεν επηρεάστηκε</c:v>
                </c:pt>
                <c:pt idx="6">
                  <c:v>ΔΑ</c:v>
                </c:pt>
              </c:strCache>
            </c:strRef>
          </c:cat>
          <c:val>
            <c:numRef>
              <c:f>Sheet1!$B$2:$H$2</c:f>
              <c:numCache>
                <c:formatCode>General</c:formatCode>
                <c:ptCount val="7"/>
                <c:pt idx="0">
                  <c:v>0.8</c:v>
                </c:pt>
                <c:pt idx="1">
                  <c:v>11.5</c:v>
                </c:pt>
                <c:pt idx="2">
                  <c:v>23.1</c:v>
                </c:pt>
                <c:pt idx="3">
                  <c:v>19.3</c:v>
                </c:pt>
                <c:pt idx="4">
                  <c:v>31.9</c:v>
                </c:pt>
                <c:pt idx="5">
                  <c:v>12.5</c:v>
                </c:pt>
                <c:pt idx="6">
                  <c:v>0.9</c:v>
                </c:pt>
              </c:numCache>
            </c:numRef>
          </c:val>
        </c:ser>
        <c:dLbls>
          <c:showVal val="1"/>
        </c:dLbls>
        <c:gapWidth val="70"/>
        <c:gapDepth val="0"/>
        <c:shape val="box"/>
        <c:axId val="63652608"/>
        <c:axId val="63654144"/>
        <c:axId val="0"/>
      </c:bar3DChart>
      <c:catAx>
        <c:axId val="63652608"/>
        <c:scaling>
          <c:orientation val="maxMin"/>
        </c:scaling>
        <c:axPos val="l"/>
        <c:numFmt formatCode="General" sourceLinked="1"/>
        <c:tickLblPos val="low"/>
        <c:spPr>
          <a:ln w="3175">
            <a:solidFill>
              <a:srgbClr val="000000"/>
            </a:solidFill>
            <a:prstDash val="solid"/>
          </a:ln>
        </c:spPr>
        <c:txPr>
          <a:bodyPr rot="0" vert="horz"/>
          <a:lstStyle/>
          <a:p>
            <a:pPr>
              <a:defRPr sz="875" b="1" i="0" u="none" strike="noStrike" baseline="0">
                <a:solidFill>
                  <a:srgbClr val="000000"/>
                </a:solidFill>
                <a:latin typeface="Tahoma"/>
                <a:ea typeface="Tahoma"/>
                <a:cs typeface="Tahoma"/>
              </a:defRPr>
            </a:pPr>
            <a:endParaRPr lang="el-GR"/>
          </a:p>
        </c:txPr>
        <c:crossAx val="63654144"/>
        <c:crosses val="autoZero"/>
        <c:auto val="1"/>
        <c:lblAlgn val="ctr"/>
        <c:lblOffset val="100"/>
        <c:tickLblSkip val="1"/>
        <c:tickMarkSkip val="1"/>
      </c:catAx>
      <c:valAx>
        <c:axId val="63654144"/>
        <c:scaling>
          <c:orientation val="minMax"/>
          <c:max val="90"/>
          <c:min val="0"/>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l-GR"/>
          </a:p>
        </c:txPr>
        <c:crossAx val="63652608"/>
        <c:crosses val="max"/>
        <c:crossBetween val="between"/>
      </c:valAx>
      <c:spPr>
        <a:noFill/>
        <a:ln w="25402">
          <a:noFill/>
        </a:ln>
      </c:spPr>
    </c:plotArea>
    <c:plotVisOnly val="1"/>
    <c:dispBlanksAs val="gap"/>
  </c:chart>
  <c:spPr>
    <a:noFill/>
    <a:ln>
      <a:noFill/>
    </a:ln>
  </c:spPr>
  <c:txPr>
    <a:bodyPr/>
    <a:lstStyle/>
    <a:p>
      <a:pPr>
        <a:defRPr sz="2025" b="1" i="0" u="none" strike="noStrike" baseline="0">
          <a:solidFill>
            <a:srgbClr val="000000"/>
          </a:solidFill>
          <a:latin typeface="Times New Roman"/>
          <a:ea typeface="Times New Roman"/>
          <a:cs typeface="Times New Roman"/>
        </a:defRPr>
      </a:pPr>
      <a:endParaRPr lang="el-GR"/>
    </a:p>
  </c:tx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011BE-C867-411C-A105-387EF17D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3978</Words>
  <Characters>24140</Characters>
  <Application>Microsoft Office Word</Application>
  <DocSecurity>0</DocSecurity>
  <Lines>201</Lines>
  <Paragraphs>56</Paragraphs>
  <ScaleCrop>false</ScaleCrop>
  <HeadingPairs>
    <vt:vector size="2" baseType="variant">
      <vt:variant>
        <vt:lpstr>Τίτλος</vt:lpstr>
      </vt:variant>
      <vt:variant>
        <vt:i4>1</vt:i4>
      </vt:variant>
    </vt:vector>
  </HeadingPairs>
  <TitlesOfParts>
    <vt:vector size="1" baseType="lpstr">
      <vt:lpstr/>
    </vt:vector>
  </TitlesOfParts>
  <Company>ΓΣΕΒΕΕ</Company>
  <LinksUpToDate>false</LinksUpToDate>
  <CharactersWithSpaces>28062</CharactersWithSpaces>
  <SharedDoc>false</SharedDoc>
  <HLinks>
    <vt:vector size="12" baseType="variant">
      <vt:variant>
        <vt:i4>8060992</vt:i4>
      </vt:variant>
      <vt:variant>
        <vt:i4>3</vt:i4>
      </vt:variant>
      <vt:variant>
        <vt:i4>0</vt:i4>
      </vt:variant>
      <vt:variant>
        <vt:i4>5</vt:i4>
      </vt:variant>
      <vt:variant>
        <vt:lpwstr>mailto:info@imegsevee.gr</vt:lpwstr>
      </vt:variant>
      <vt:variant>
        <vt:lpwstr/>
      </vt:variant>
      <vt:variant>
        <vt:i4>983046</vt:i4>
      </vt:variant>
      <vt:variant>
        <vt:i4>0</vt:i4>
      </vt:variant>
      <vt:variant>
        <vt:i4>0</vt:i4>
      </vt:variant>
      <vt:variant>
        <vt:i4>5</vt:i4>
      </vt:variant>
      <vt:variant>
        <vt:lpwstr>http://www.imegsevee.gr/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lioliou</dc:creator>
  <cp:lastModifiedBy>Motsou</cp:lastModifiedBy>
  <cp:revision>2</cp:revision>
  <cp:lastPrinted>2015-08-31T12:34:00Z</cp:lastPrinted>
  <dcterms:created xsi:type="dcterms:W3CDTF">2015-09-02T09:58:00Z</dcterms:created>
  <dcterms:modified xsi:type="dcterms:W3CDTF">2015-09-02T09:58:00Z</dcterms:modified>
</cp:coreProperties>
</file>