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49" w:rsidRDefault="007B3849" w:rsidP="003C09A8">
      <w:pPr>
        <w:jc w:val="center"/>
        <w:rPr>
          <w:b/>
          <w:sz w:val="26"/>
          <w:szCs w:val="26"/>
          <w:lang w:val="el-GR"/>
        </w:rPr>
      </w:pPr>
      <w:r w:rsidRPr="00727D28">
        <w:rPr>
          <w:b/>
          <w:bCs/>
          <w:noProof/>
          <w:lang w:val="el-GR" w:eastAsia="el-GR"/>
        </w:rPr>
        <w:drawing>
          <wp:inline distT="0" distB="0" distL="0" distR="0">
            <wp:extent cx="2784648" cy="648000"/>
            <wp:effectExtent l="0" t="0" r="0" b="0"/>
            <wp:docPr id="4" name="Εικόνα 4" descr="C:\Users\kliok\Desktop\TEL-logo-esee-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iok\Desktop\TEL-logo-esee-01 (2).jpg"/>
                    <pic:cNvPicPr>
                      <a:picLocks noChangeAspect="1" noChangeArrowheads="1"/>
                    </pic:cNvPicPr>
                  </pic:nvPicPr>
                  <pic:blipFill>
                    <a:blip r:embed="rId8" cstate="print"/>
                    <a:srcRect/>
                    <a:stretch>
                      <a:fillRect/>
                    </a:stretch>
                  </pic:blipFill>
                  <pic:spPr bwMode="auto">
                    <a:xfrm>
                      <a:off x="0" y="0"/>
                      <a:ext cx="2784648" cy="648000"/>
                    </a:xfrm>
                    <a:prstGeom prst="rect">
                      <a:avLst/>
                    </a:prstGeom>
                    <a:noFill/>
                    <a:ln w="9525">
                      <a:noFill/>
                      <a:miter lim="800000"/>
                      <a:headEnd/>
                      <a:tailEnd/>
                    </a:ln>
                  </pic:spPr>
                </pic:pic>
              </a:graphicData>
            </a:graphic>
          </wp:inline>
        </w:drawing>
      </w:r>
    </w:p>
    <w:p w:rsidR="007B3849" w:rsidRPr="007B3849" w:rsidRDefault="007B3849" w:rsidP="007B3849">
      <w:pPr>
        <w:spacing w:after="0" w:line="240" w:lineRule="auto"/>
        <w:ind w:left="4320" w:firstLine="720"/>
        <w:jc w:val="center"/>
        <w:rPr>
          <w:rFonts w:ascii="Times New Roman" w:eastAsia="Calibri" w:hAnsi="Times New Roman" w:cs="Times New Roman"/>
          <w:sz w:val="25"/>
          <w:szCs w:val="25"/>
          <w:lang w:val="el-GR"/>
        </w:rPr>
      </w:pPr>
    </w:p>
    <w:p w:rsidR="007B3849" w:rsidRPr="007B3849" w:rsidRDefault="007B3849" w:rsidP="007B3849">
      <w:pPr>
        <w:spacing w:after="0" w:line="240" w:lineRule="auto"/>
        <w:ind w:left="4320" w:firstLine="720"/>
        <w:jc w:val="center"/>
        <w:rPr>
          <w:rFonts w:eastAsia="Calibri" w:cs="Times New Roman"/>
          <w:sz w:val="25"/>
          <w:szCs w:val="25"/>
          <w:lang w:val="el-GR"/>
        </w:rPr>
      </w:pPr>
      <w:r w:rsidRPr="007B3849">
        <w:rPr>
          <w:rFonts w:eastAsia="Calibri" w:cs="Times New Roman"/>
          <w:sz w:val="25"/>
          <w:szCs w:val="25"/>
          <w:lang w:val="el-GR"/>
        </w:rPr>
        <w:t xml:space="preserve">Αθήνα, </w:t>
      </w:r>
      <w:r w:rsidR="006D4B3C">
        <w:rPr>
          <w:rFonts w:eastAsia="Calibri" w:cs="Times New Roman"/>
          <w:sz w:val="25"/>
          <w:szCs w:val="25"/>
          <w:lang w:val="el-GR"/>
        </w:rPr>
        <w:t>28 Φ</w:t>
      </w:r>
      <w:r w:rsidR="009A2188">
        <w:rPr>
          <w:rFonts w:eastAsia="Calibri" w:cs="Times New Roman"/>
          <w:sz w:val="25"/>
          <w:szCs w:val="25"/>
          <w:lang w:val="el-GR"/>
        </w:rPr>
        <w:t>εβρουαρίου</w:t>
      </w:r>
      <w:r w:rsidRPr="007B3849">
        <w:rPr>
          <w:rFonts w:eastAsia="Calibri" w:cs="Times New Roman"/>
          <w:sz w:val="25"/>
          <w:szCs w:val="25"/>
          <w:lang w:val="el-GR"/>
        </w:rPr>
        <w:t xml:space="preserve"> 2018</w:t>
      </w:r>
    </w:p>
    <w:p w:rsidR="007B3849" w:rsidRPr="007B3849" w:rsidRDefault="007B3849" w:rsidP="007B3849">
      <w:pPr>
        <w:spacing w:after="0" w:line="240" w:lineRule="auto"/>
        <w:ind w:left="4320" w:firstLine="720"/>
        <w:jc w:val="center"/>
        <w:rPr>
          <w:rFonts w:eastAsia="Calibri" w:cs="Times New Roman"/>
          <w:sz w:val="25"/>
          <w:szCs w:val="25"/>
          <w:lang w:val="el-GR"/>
        </w:rPr>
      </w:pPr>
    </w:p>
    <w:p w:rsidR="006D4B3C" w:rsidRPr="00C953A5" w:rsidRDefault="006D4B3C" w:rsidP="007B3849">
      <w:pPr>
        <w:jc w:val="center"/>
        <w:rPr>
          <w:b/>
          <w:sz w:val="25"/>
          <w:szCs w:val="25"/>
          <w:u w:val="single"/>
          <w:lang w:val="el-GR"/>
        </w:rPr>
      </w:pPr>
    </w:p>
    <w:p w:rsidR="007B3849" w:rsidRPr="009A2188" w:rsidRDefault="007B3849" w:rsidP="007B3849">
      <w:pPr>
        <w:jc w:val="center"/>
        <w:rPr>
          <w:b/>
          <w:sz w:val="25"/>
          <w:szCs w:val="25"/>
          <w:u w:val="single"/>
          <w:lang w:val="el-GR"/>
        </w:rPr>
      </w:pPr>
      <w:r w:rsidRPr="009A2188">
        <w:rPr>
          <w:b/>
          <w:sz w:val="25"/>
          <w:szCs w:val="25"/>
          <w:u w:val="single"/>
          <w:lang w:val="el-GR"/>
        </w:rPr>
        <w:t>ΔΕΛΤΙΟ ΤΥΠΟΥ</w:t>
      </w:r>
    </w:p>
    <w:p w:rsidR="003C09A8" w:rsidRPr="003C09A8" w:rsidRDefault="003C09A8" w:rsidP="003C09A8">
      <w:pPr>
        <w:jc w:val="center"/>
        <w:rPr>
          <w:b/>
          <w:sz w:val="26"/>
          <w:szCs w:val="26"/>
          <w:lang w:val="el-GR"/>
        </w:rPr>
      </w:pPr>
      <w:r w:rsidRPr="003C09A8">
        <w:rPr>
          <w:b/>
          <w:sz w:val="26"/>
          <w:szCs w:val="26"/>
          <w:lang w:val="el-GR"/>
        </w:rPr>
        <w:t>«</w:t>
      </w:r>
      <w:r w:rsidR="00491FCE">
        <w:rPr>
          <w:b/>
          <w:sz w:val="26"/>
          <w:szCs w:val="26"/>
          <w:lang w:val="el-GR"/>
        </w:rPr>
        <w:t>Υποτονική η</w:t>
      </w:r>
      <w:r w:rsidRPr="003C09A8">
        <w:rPr>
          <w:b/>
          <w:sz w:val="26"/>
          <w:szCs w:val="26"/>
          <w:lang w:val="el-GR"/>
        </w:rPr>
        <w:t xml:space="preserve"> κίνηση των εμπορικών καταστημάτων κατά </w:t>
      </w:r>
      <w:r>
        <w:rPr>
          <w:b/>
          <w:sz w:val="26"/>
          <w:szCs w:val="26"/>
          <w:lang w:val="el-GR"/>
        </w:rPr>
        <w:t xml:space="preserve">τη </w:t>
      </w:r>
      <w:r w:rsidR="009654E3">
        <w:rPr>
          <w:b/>
          <w:sz w:val="26"/>
          <w:szCs w:val="26"/>
          <w:lang w:val="el-GR"/>
        </w:rPr>
        <w:t>χειμερινή</w:t>
      </w:r>
      <w:r>
        <w:rPr>
          <w:b/>
          <w:sz w:val="26"/>
          <w:szCs w:val="26"/>
          <w:lang w:val="el-GR"/>
        </w:rPr>
        <w:t xml:space="preserve"> εκπτωτική περίοδο του 201</w:t>
      </w:r>
      <w:r w:rsidR="009654E3">
        <w:rPr>
          <w:b/>
          <w:sz w:val="26"/>
          <w:szCs w:val="26"/>
          <w:lang w:val="el-GR"/>
        </w:rPr>
        <w:t>8</w:t>
      </w:r>
      <w:r w:rsidRPr="003C09A8">
        <w:rPr>
          <w:b/>
          <w:sz w:val="26"/>
          <w:szCs w:val="26"/>
          <w:lang w:val="el-GR"/>
        </w:rPr>
        <w:t>»</w:t>
      </w:r>
    </w:p>
    <w:p w:rsidR="009A2188" w:rsidRDefault="003C09A8" w:rsidP="00CD4A69">
      <w:pPr>
        <w:pStyle w:val="a4"/>
        <w:spacing w:before="80" w:line="276" w:lineRule="auto"/>
        <w:jc w:val="both"/>
        <w:rPr>
          <w:rFonts w:asciiTheme="minorHAnsi" w:hAnsiTheme="minorHAnsi"/>
          <w:sz w:val="22"/>
          <w:szCs w:val="22"/>
        </w:rPr>
      </w:pPr>
      <w:r>
        <w:rPr>
          <w:rFonts w:asciiTheme="minorHAnsi" w:hAnsiTheme="minorHAnsi"/>
          <w:sz w:val="22"/>
          <w:szCs w:val="22"/>
        </w:rPr>
        <w:t xml:space="preserve">Το ΙΝΕΜΥ-ΕΣΕΕ </w:t>
      </w:r>
      <w:r w:rsidRPr="00277B79">
        <w:rPr>
          <w:rFonts w:asciiTheme="minorHAnsi" w:hAnsiTheme="minorHAnsi"/>
          <w:sz w:val="22"/>
          <w:szCs w:val="22"/>
        </w:rPr>
        <w:t>πραγματοποίησε την περιοδική</w:t>
      </w:r>
      <w:r>
        <w:rPr>
          <w:rFonts w:asciiTheme="minorHAnsi" w:hAnsiTheme="minorHAnsi"/>
          <w:sz w:val="22"/>
          <w:szCs w:val="22"/>
        </w:rPr>
        <w:t xml:space="preserve"> έρευνα </w:t>
      </w:r>
      <w:r w:rsidRPr="00277B79">
        <w:rPr>
          <w:rFonts w:asciiTheme="minorHAnsi" w:hAnsiTheme="minorHAnsi"/>
          <w:sz w:val="22"/>
          <w:szCs w:val="22"/>
        </w:rPr>
        <w:t xml:space="preserve"> για την κίνηση της αγοράς κατά </w:t>
      </w:r>
      <w:r>
        <w:rPr>
          <w:rFonts w:asciiTheme="minorHAnsi" w:hAnsiTheme="minorHAnsi"/>
          <w:sz w:val="22"/>
          <w:szCs w:val="22"/>
        </w:rPr>
        <w:t xml:space="preserve">τη </w:t>
      </w:r>
      <w:r w:rsidR="00FB3A23">
        <w:rPr>
          <w:rFonts w:asciiTheme="minorHAnsi" w:hAnsiTheme="minorHAnsi"/>
          <w:sz w:val="22"/>
          <w:szCs w:val="22"/>
        </w:rPr>
        <w:t>χειμερινή</w:t>
      </w:r>
      <w:r>
        <w:rPr>
          <w:rFonts w:asciiTheme="minorHAnsi" w:hAnsiTheme="minorHAnsi"/>
          <w:sz w:val="22"/>
          <w:szCs w:val="22"/>
        </w:rPr>
        <w:t xml:space="preserve"> εκπτωτική περίοδο του 201</w:t>
      </w:r>
      <w:r w:rsidR="00FB3A23">
        <w:rPr>
          <w:rFonts w:asciiTheme="minorHAnsi" w:hAnsiTheme="minorHAnsi"/>
          <w:sz w:val="22"/>
          <w:szCs w:val="22"/>
        </w:rPr>
        <w:t>8</w:t>
      </w:r>
      <w:r w:rsidRPr="00277B79">
        <w:rPr>
          <w:rFonts w:asciiTheme="minorHAnsi" w:hAnsiTheme="minorHAnsi"/>
          <w:sz w:val="22"/>
          <w:szCs w:val="22"/>
        </w:rPr>
        <w:t xml:space="preserve">. Η έρευνα ήταν τηλεφωνική με χρήση δομημένου ερωτηματολογίου σε δείγμα </w:t>
      </w:r>
      <w:r w:rsidR="009A2188">
        <w:rPr>
          <w:rFonts w:asciiTheme="minorHAnsi" w:hAnsiTheme="minorHAnsi"/>
          <w:sz w:val="22"/>
          <w:szCs w:val="22"/>
        </w:rPr>
        <w:t>250</w:t>
      </w:r>
      <w:r w:rsidRPr="001C1781">
        <w:rPr>
          <w:rFonts w:asciiTheme="minorHAnsi" w:hAnsiTheme="minorHAnsi"/>
          <w:sz w:val="22"/>
          <w:szCs w:val="22"/>
        </w:rPr>
        <w:t xml:space="preserve"> </w:t>
      </w:r>
      <w:r w:rsidRPr="00277B79">
        <w:rPr>
          <w:rFonts w:asciiTheme="minorHAnsi" w:hAnsiTheme="minorHAnsi"/>
          <w:sz w:val="22"/>
          <w:szCs w:val="22"/>
        </w:rPr>
        <w:t>επιχειρήσεων</w:t>
      </w:r>
      <w:r w:rsidR="0040032E">
        <w:rPr>
          <w:rFonts w:asciiTheme="minorHAnsi" w:hAnsiTheme="minorHAnsi"/>
          <w:sz w:val="22"/>
          <w:szCs w:val="22"/>
        </w:rPr>
        <w:t>,</w:t>
      </w:r>
      <w:r w:rsidRPr="00277B79">
        <w:rPr>
          <w:rFonts w:asciiTheme="minorHAnsi" w:hAnsiTheme="minorHAnsi"/>
          <w:sz w:val="22"/>
          <w:szCs w:val="22"/>
        </w:rPr>
        <w:t xml:space="preserve"> </w:t>
      </w:r>
      <w:r w:rsidR="00FB3A23">
        <w:rPr>
          <w:rFonts w:asciiTheme="minorHAnsi" w:hAnsiTheme="minorHAnsi"/>
          <w:sz w:val="22"/>
          <w:szCs w:val="22"/>
        </w:rPr>
        <w:t xml:space="preserve">εφαρμόζοντας </w:t>
      </w:r>
      <w:proofErr w:type="spellStart"/>
      <w:r w:rsidR="00FB3A23">
        <w:rPr>
          <w:rFonts w:asciiTheme="minorHAnsi" w:hAnsiTheme="minorHAnsi"/>
          <w:sz w:val="22"/>
          <w:szCs w:val="22"/>
        </w:rPr>
        <w:t>στρωματοποιημένη</w:t>
      </w:r>
      <w:proofErr w:type="spellEnd"/>
      <w:r w:rsidR="00FB3A23">
        <w:rPr>
          <w:rFonts w:asciiTheme="minorHAnsi" w:hAnsiTheme="minorHAnsi"/>
          <w:sz w:val="22"/>
          <w:szCs w:val="22"/>
        </w:rPr>
        <w:t xml:space="preserve"> δειγματοληψία σε δύο στάδια, </w:t>
      </w:r>
      <w:r w:rsidRPr="00277B79">
        <w:rPr>
          <w:rFonts w:asciiTheme="minorHAnsi" w:hAnsiTheme="minorHAnsi"/>
          <w:sz w:val="22"/>
          <w:szCs w:val="22"/>
        </w:rPr>
        <w:t xml:space="preserve">σε εμπορικές αγορές αστικών κέντρων της χώρας. </w:t>
      </w:r>
      <w:r w:rsidR="009A2188">
        <w:rPr>
          <w:rFonts w:asciiTheme="minorHAnsi" w:hAnsiTheme="minorHAnsi"/>
          <w:sz w:val="22"/>
          <w:szCs w:val="22"/>
        </w:rPr>
        <w:t xml:space="preserve">Παράλληλα καταγράφηκαν οι απόψεις πολλών Εμπορικών Συλλόγων.  </w:t>
      </w:r>
    </w:p>
    <w:p w:rsidR="003C09A8" w:rsidRDefault="009A2188" w:rsidP="00CD4A69">
      <w:pPr>
        <w:pStyle w:val="a4"/>
        <w:spacing w:before="80" w:line="276" w:lineRule="auto"/>
        <w:jc w:val="both"/>
        <w:rPr>
          <w:rFonts w:asciiTheme="minorHAnsi" w:hAnsiTheme="minorHAnsi"/>
          <w:sz w:val="22"/>
          <w:szCs w:val="22"/>
        </w:rPr>
      </w:pPr>
      <w:r>
        <w:rPr>
          <w:rFonts w:asciiTheme="minorHAnsi" w:hAnsiTheme="minorHAnsi"/>
          <w:sz w:val="22"/>
          <w:szCs w:val="22"/>
        </w:rPr>
        <w:t xml:space="preserve">Σε γενικές γραμμές το βασικό συμπέρασμα είναι ότι οι χειμερινές εκπτώσεις Ιανουάριος/Φεβρουάριος 2018 ήταν υποβαθμισμένες αφού μάλλον η Χριστουγεννιάτικη κίνηση μοιάζει να </w:t>
      </w:r>
      <w:r w:rsidRPr="009A2188">
        <w:rPr>
          <w:rFonts w:asciiTheme="minorHAnsi" w:hAnsiTheme="minorHAnsi"/>
          <w:b/>
          <w:sz w:val="22"/>
          <w:szCs w:val="22"/>
        </w:rPr>
        <w:t>«έκλεψε την παράσταση</w:t>
      </w:r>
      <w:r>
        <w:rPr>
          <w:rFonts w:asciiTheme="minorHAnsi" w:hAnsiTheme="minorHAnsi"/>
          <w:sz w:val="22"/>
          <w:szCs w:val="22"/>
        </w:rPr>
        <w:t xml:space="preserve">». </w:t>
      </w:r>
    </w:p>
    <w:p w:rsidR="0062484F" w:rsidRDefault="0062484F" w:rsidP="003C09A8">
      <w:pPr>
        <w:pStyle w:val="a4"/>
        <w:spacing w:before="80" w:line="360" w:lineRule="atLeast"/>
        <w:jc w:val="both"/>
        <w:rPr>
          <w:rFonts w:asciiTheme="minorHAnsi" w:hAnsiTheme="minorHAnsi"/>
          <w:sz w:val="22"/>
          <w:szCs w:val="22"/>
        </w:rPr>
      </w:pPr>
    </w:p>
    <w:p w:rsidR="0062484F" w:rsidRPr="009A2188" w:rsidRDefault="0062484F" w:rsidP="0062484F">
      <w:pPr>
        <w:spacing w:after="0" w:line="240" w:lineRule="auto"/>
        <w:jc w:val="center"/>
        <w:rPr>
          <w:rFonts w:eastAsia="Calibri" w:cs="Times New Roman"/>
          <w:b/>
          <w:i/>
          <w:sz w:val="26"/>
          <w:szCs w:val="26"/>
          <w:u w:val="single"/>
          <w:lang w:val="el-GR"/>
        </w:rPr>
      </w:pPr>
      <w:r w:rsidRPr="009A2188">
        <w:rPr>
          <w:rFonts w:eastAsia="Calibri" w:cs="Times New Roman"/>
          <w:b/>
          <w:i/>
          <w:sz w:val="26"/>
          <w:szCs w:val="26"/>
          <w:u w:val="single"/>
          <w:lang w:val="el-GR"/>
        </w:rPr>
        <w:t>Σύνοψη αποτελεσμάτων</w:t>
      </w:r>
    </w:p>
    <w:p w:rsidR="0062484F" w:rsidRDefault="0062484F" w:rsidP="003C09A8">
      <w:pPr>
        <w:pStyle w:val="a4"/>
        <w:spacing w:before="80" w:line="360" w:lineRule="atLeast"/>
        <w:jc w:val="both"/>
        <w:rPr>
          <w:rFonts w:asciiTheme="minorHAnsi" w:hAnsiTheme="minorHAnsi"/>
          <w:sz w:val="22"/>
          <w:szCs w:val="22"/>
        </w:rPr>
      </w:pPr>
    </w:p>
    <w:p w:rsidR="001B273F" w:rsidRDefault="00D749CC" w:rsidP="00CD4A69">
      <w:pPr>
        <w:pStyle w:val="a7"/>
        <w:numPr>
          <w:ilvl w:val="0"/>
          <w:numId w:val="3"/>
        </w:numPr>
        <w:ind w:left="714" w:hanging="357"/>
        <w:jc w:val="both"/>
        <w:rPr>
          <w:lang w:val="el-GR"/>
        </w:rPr>
      </w:pPr>
      <w:r>
        <w:rPr>
          <w:lang w:val="el-GR"/>
        </w:rPr>
        <w:t xml:space="preserve">Τη φετινή χειμερινή εκπτωτική περίοδο </w:t>
      </w:r>
      <w:r w:rsidRPr="00F8491B">
        <w:rPr>
          <w:b/>
          <w:lang w:val="el-GR"/>
        </w:rPr>
        <w:t>οι επιχειρήσεις</w:t>
      </w:r>
      <w:r w:rsidR="00E6108B">
        <w:rPr>
          <w:b/>
          <w:lang w:val="el-GR"/>
        </w:rPr>
        <w:t xml:space="preserve"> </w:t>
      </w:r>
      <w:r w:rsidR="004334F6">
        <w:rPr>
          <w:b/>
          <w:lang w:val="el-GR"/>
        </w:rPr>
        <w:t xml:space="preserve">στο μεγαλύτερο μέρος τους </w:t>
      </w:r>
      <w:r w:rsidRPr="00F8491B">
        <w:rPr>
          <w:b/>
          <w:lang w:val="el-GR"/>
        </w:rPr>
        <w:t xml:space="preserve"> είχαν πτώση στις πωλήσεις τους σε σύγκριση με πέρυσι</w:t>
      </w:r>
      <w:r w:rsidR="009A2188">
        <w:rPr>
          <w:lang w:val="el-GR"/>
        </w:rPr>
        <w:t xml:space="preserve">. Συγκεκριμένα, για </w:t>
      </w:r>
      <w:r>
        <w:rPr>
          <w:lang w:val="el-GR"/>
        </w:rPr>
        <w:t>π</w:t>
      </w:r>
      <w:r w:rsidR="001B273F">
        <w:rPr>
          <w:lang w:val="el-GR"/>
        </w:rPr>
        <w:t xml:space="preserve">αραπάνω από 6 </w:t>
      </w:r>
      <w:r w:rsidR="009A2188">
        <w:rPr>
          <w:lang w:val="el-GR"/>
        </w:rPr>
        <w:t xml:space="preserve">στους 10 επιχειρηματίες </w:t>
      </w:r>
      <w:r w:rsidR="001B273F" w:rsidRPr="001B273F">
        <w:rPr>
          <w:lang w:val="el-GR"/>
        </w:rPr>
        <w:t xml:space="preserve">οι πωλήσεις </w:t>
      </w:r>
      <w:r w:rsidR="009A2188">
        <w:rPr>
          <w:lang w:val="el-GR"/>
        </w:rPr>
        <w:t xml:space="preserve">τους τη </w:t>
      </w:r>
      <w:r w:rsidR="009A2188" w:rsidRPr="001B273F">
        <w:rPr>
          <w:lang w:val="el-GR"/>
        </w:rPr>
        <w:t>χειμερινή εκπτωτική περίοδο</w:t>
      </w:r>
      <w:r w:rsidR="009A2188">
        <w:rPr>
          <w:lang w:val="el-GR"/>
        </w:rPr>
        <w:t>ς-</w:t>
      </w:r>
      <w:r w:rsidR="001B273F" w:rsidRPr="001B273F">
        <w:rPr>
          <w:lang w:val="el-GR"/>
        </w:rPr>
        <w:t xml:space="preserve">ήταν </w:t>
      </w:r>
      <w:r w:rsidR="001B273F">
        <w:rPr>
          <w:lang w:val="el-GR"/>
        </w:rPr>
        <w:t xml:space="preserve">χαμηλότερες </w:t>
      </w:r>
      <w:r w:rsidR="009A2188">
        <w:rPr>
          <w:lang w:val="el-GR"/>
        </w:rPr>
        <w:t xml:space="preserve">σε σύγκριση με το 2017. Ποσοστό  </w:t>
      </w:r>
      <w:r w:rsidR="001B273F" w:rsidRPr="001B273F">
        <w:rPr>
          <w:lang w:val="el-GR"/>
        </w:rPr>
        <w:t xml:space="preserve">26% </w:t>
      </w:r>
      <w:r w:rsidR="005818ED">
        <w:rPr>
          <w:lang w:val="el-GR"/>
        </w:rPr>
        <w:t xml:space="preserve">δήλωσε </w:t>
      </w:r>
      <w:r w:rsidR="001B273F" w:rsidRPr="001B273F">
        <w:rPr>
          <w:lang w:val="el-GR"/>
        </w:rPr>
        <w:t xml:space="preserve">ότι παρέμειναν σταθερές και το 8% ότι κινήθηκαν καλύτερα. </w:t>
      </w:r>
    </w:p>
    <w:p w:rsidR="00F8491B" w:rsidRPr="006D4B3C" w:rsidRDefault="00B118EF" w:rsidP="00F8491B">
      <w:pPr>
        <w:pStyle w:val="a7"/>
        <w:numPr>
          <w:ilvl w:val="0"/>
          <w:numId w:val="3"/>
        </w:numPr>
        <w:jc w:val="both"/>
        <w:rPr>
          <w:lang w:val="el-GR"/>
        </w:rPr>
      </w:pPr>
      <w:r w:rsidRPr="00045AD7">
        <w:rPr>
          <w:lang w:val="el-GR"/>
        </w:rPr>
        <w:t>Ως προς το ύψος του ποσοστού έκπτωσης στις εμπορικές αγορές μία στις τρεις επιχειρήσεις, διαμόρφωσε το ποσοστό των εκπτώσεων μεταξύ 21% και 40%</w:t>
      </w:r>
      <w:r>
        <w:rPr>
          <w:lang w:val="el-GR"/>
        </w:rPr>
        <w:t xml:space="preserve">, ενώ </w:t>
      </w:r>
      <w:r w:rsidR="004E520D">
        <w:rPr>
          <w:lang w:val="el-GR"/>
        </w:rPr>
        <w:t xml:space="preserve">μία στις </w:t>
      </w:r>
      <w:r w:rsidR="004E520D" w:rsidRPr="006D4B3C">
        <w:rPr>
          <w:lang w:val="el-GR"/>
        </w:rPr>
        <w:t xml:space="preserve">τέσσερις πραγματοποίησε εκπτώσεις μικρότερης τάξης, έως και 20%. </w:t>
      </w:r>
    </w:p>
    <w:p w:rsidR="00C35EEC" w:rsidRPr="006D4B3C" w:rsidRDefault="009A2188" w:rsidP="00045AD7">
      <w:pPr>
        <w:pStyle w:val="a7"/>
        <w:numPr>
          <w:ilvl w:val="0"/>
          <w:numId w:val="3"/>
        </w:numPr>
        <w:jc w:val="both"/>
        <w:rPr>
          <w:lang w:val="el-GR"/>
        </w:rPr>
      </w:pPr>
      <w:r w:rsidRPr="006D4B3C">
        <w:rPr>
          <w:lang w:val="el-GR"/>
        </w:rPr>
        <w:t xml:space="preserve">Σύμφωνα με το </w:t>
      </w:r>
      <w:r w:rsidRPr="006D4B3C">
        <w:rPr>
          <w:b/>
          <w:lang w:val="el-GR"/>
        </w:rPr>
        <w:t>58% των επιχειρηματιών ο Ιανουάριος</w:t>
      </w:r>
      <w:r w:rsidR="00C35EEC" w:rsidRPr="006D4B3C">
        <w:rPr>
          <w:lang w:val="el-GR"/>
        </w:rPr>
        <w:t xml:space="preserve"> από άποψη αγοραστικής κίνησης</w:t>
      </w:r>
      <w:r w:rsidR="006D4B3C" w:rsidRPr="006D4B3C">
        <w:rPr>
          <w:lang w:val="el-GR"/>
        </w:rPr>
        <w:t xml:space="preserve"> ήταν ο καλύτερος μήνας των εκπτώσεων. </w:t>
      </w:r>
    </w:p>
    <w:p w:rsidR="009B0EC0" w:rsidRDefault="009A2188" w:rsidP="00045AD7">
      <w:pPr>
        <w:pStyle w:val="a7"/>
        <w:numPr>
          <w:ilvl w:val="0"/>
          <w:numId w:val="3"/>
        </w:numPr>
        <w:jc w:val="both"/>
        <w:rPr>
          <w:lang w:val="el-GR"/>
        </w:rPr>
      </w:pPr>
      <w:r>
        <w:rPr>
          <w:lang w:val="el-GR"/>
        </w:rPr>
        <w:t>Σχετικά με τη λειτουργία των καταστημάτων</w:t>
      </w:r>
      <w:r w:rsidR="009B0EC0">
        <w:rPr>
          <w:lang w:val="el-GR"/>
        </w:rPr>
        <w:t xml:space="preserve"> </w:t>
      </w:r>
      <w:r w:rsidR="009B0EC0" w:rsidRPr="009A2188">
        <w:rPr>
          <w:b/>
          <w:lang w:val="el-GR"/>
        </w:rPr>
        <w:t>την Κυριακή 14 Ιανουαρίου, 7 στους 10</w:t>
      </w:r>
      <w:r w:rsidR="009B0EC0">
        <w:rPr>
          <w:lang w:val="el-GR"/>
        </w:rPr>
        <w:t xml:space="preserve"> δηλώνουν ότι </w:t>
      </w:r>
      <w:r w:rsidR="009B0EC0" w:rsidRPr="009A2188">
        <w:rPr>
          <w:b/>
          <w:lang w:val="el-GR"/>
        </w:rPr>
        <w:t xml:space="preserve">δεν επηρέασε το </w:t>
      </w:r>
      <w:r w:rsidR="000F2EA8" w:rsidRPr="009A2188">
        <w:rPr>
          <w:b/>
          <w:lang w:val="el-GR"/>
        </w:rPr>
        <w:t>τζίρο</w:t>
      </w:r>
      <w:r>
        <w:rPr>
          <w:lang w:val="el-GR"/>
        </w:rPr>
        <w:t xml:space="preserve"> της εκπτωτικής περιόδου. </w:t>
      </w:r>
      <w:r w:rsidR="009B0EC0">
        <w:rPr>
          <w:lang w:val="el-GR"/>
        </w:rPr>
        <w:t xml:space="preserve"> ενώ 1 στους 4 επιχειρηματίες θεωρεί πως επηρέασε αρνητικά και μόλις το 2% ότι τον επηρέασε θετικά.</w:t>
      </w:r>
    </w:p>
    <w:p w:rsidR="006D4B3C" w:rsidRPr="00CD4A69" w:rsidRDefault="006D4B3C" w:rsidP="00045AD7">
      <w:pPr>
        <w:pStyle w:val="a7"/>
        <w:numPr>
          <w:ilvl w:val="0"/>
          <w:numId w:val="3"/>
        </w:numPr>
        <w:jc w:val="both"/>
        <w:rPr>
          <w:b/>
          <w:lang w:val="el-GR"/>
        </w:rPr>
      </w:pPr>
      <w:r>
        <w:rPr>
          <w:lang w:val="el-GR"/>
        </w:rPr>
        <w:t xml:space="preserve">Η μείωση σε σχέση με το δίμηνο του 2017 που εκτιμάται από τους Εμπορικούς Συλλόγους σε όλη τη χώρα φτάνει το </w:t>
      </w:r>
      <w:r w:rsidRPr="00CD4A69">
        <w:rPr>
          <w:b/>
          <w:lang w:val="el-GR"/>
        </w:rPr>
        <w:t>8,8%</w:t>
      </w:r>
      <w:r w:rsidR="00CD4A69">
        <w:rPr>
          <w:lang w:val="el-GR"/>
        </w:rPr>
        <w:t xml:space="preserve"> (484 εκ. ευρώ)</w:t>
      </w:r>
      <w:r>
        <w:rPr>
          <w:lang w:val="el-GR"/>
        </w:rPr>
        <w:t>, διαμορφώ</w:t>
      </w:r>
      <w:r w:rsidR="00CD4A69">
        <w:rPr>
          <w:lang w:val="el-GR"/>
        </w:rPr>
        <w:t>ν</w:t>
      </w:r>
      <w:r>
        <w:rPr>
          <w:lang w:val="el-GR"/>
        </w:rPr>
        <w:t xml:space="preserve">οντας την εκτίμηση για το τζίρο </w:t>
      </w:r>
      <w:r w:rsidRPr="00CD4A69">
        <w:rPr>
          <w:b/>
          <w:lang w:val="el-GR"/>
        </w:rPr>
        <w:t xml:space="preserve">του πρώτου διμήνου του 2018 σε </w:t>
      </w:r>
      <w:r w:rsidR="00CD4A69" w:rsidRPr="00CD4A69">
        <w:rPr>
          <w:b/>
          <w:lang w:val="el-GR"/>
        </w:rPr>
        <w:t>5,02 δις ευρώ από 5,5 δις το 2017.</w:t>
      </w:r>
    </w:p>
    <w:p w:rsidR="009B0EC0" w:rsidRDefault="009B0EC0" w:rsidP="00C735D1">
      <w:pPr>
        <w:pStyle w:val="a4"/>
        <w:spacing w:before="80" w:line="360" w:lineRule="atLeast"/>
        <w:jc w:val="both"/>
        <w:rPr>
          <w:rFonts w:ascii="Georgia" w:hAnsi="Georgia"/>
        </w:rPr>
      </w:pPr>
    </w:p>
    <w:p w:rsidR="006D4B3C" w:rsidRDefault="006D4B3C" w:rsidP="00A505A2">
      <w:pPr>
        <w:rPr>
          <w:rFonts w:ascii="Georgia" w:hAnsi="Georgia"/>
          <w:b/>
          <w:sz w:val="20"/>
          <w:szCs w:val="20"/>
          <w:u w:val="single"/>
          <w:lang w:val="el-GR"/>
        </w:rPr>
      </w:pPr>
    </w:p>
    <w:p w:rsidR="00142E2E" w:rsidRPr="009A2188" w:rsidRDefault="00142E2E" w:rsidP="00A505A2">
      <w:pPr>
        <w:rPr>
          <w:b/>
          <w:sz w:val="28"/>
          <w:szCs w:val="28"/>
          <w:u w:val="single"/>
          <w:lang w:val="el-GR"/>
        </w:rPr>
      </w:pPr>
    </w:p>
    <w:p w:rsidR="009A2188" w:rsidRPr="006D4B3C" w:rsidRDefault="009A2188" w:rsidP="006D4B3C">
      <w:pPr>
        <w:rPr>
          <w:b/>
          <w:sz w:val="28"/>
          <w:szCs w:val="28"/>
          <w:lang w:val="el-GR"/>
        </w:rPr>
      </w:pPr>
      <w:r>
        <w:rPr>
          <w:b/>
          <w:sz w:val="28"/>
          <w:szCs w:val="28"/>
          <w:u w:val="single"/>
          <w:lang w:val="el-GR"/>
        </w:rPr>
        <w:t>Αναλυτικά α</w:t>
      </w:r>
      <w:r w:rsidR="003C09A8" w:rsidRPr="009A2188">
        <w:rPr>
          <w:b/>
          <w:sz w:val="28"/>
          <w:szCs w:val="28"/>
          <w:u w:val="single"/>
          <w:lang w:val="el-GR"/>
        </w:rPr>
        <w:t xml:space="preserve">ποτελέσματα της έρευνας </w:t>
      </w:r>
    </w:p>
    <w:p w:rsidR="00F05614" w:rsidRDefault="00F05614" w:rsidP="00E3567E">
      <w:pPr>
        <w:jc w:val="both"/>
        <w:rPr>
          <w:lang w:val="el-GR"/>
        </w:rPr>
      </w:pPr>
      <w:r>
        <w:rPr>
          <w:lang w:val="el-GR"/>
        </w:rPr>
        <w:t xml:space="preserve">Περίπου </w:t>
      </w:r>
      <w:r w:rsidRPr="00142E2E">
        <w:rPr>
          <w:b/>
          <w:lang w:val="el-GR"/>
        </w:rPr>
        <w:t xml:space="preserve">μία στις </w:t>
      </w:r>
      <w:r w:rsidR="0040032E" w:rsidRPr="00142E2E">
        <w:rPr>
          <w:b/>
          <w:lang w:val="el-GR"/>
        </w:rPr>
        <w:t>τρεις</w:t>
      </w:r>
      <w:r w:rsidRPr="00142E2E">
        <w:rPr>
          <w:b/>
          <w:lang w:val="el-GR"/>
        </w:rPr>
        <w:t xml:space="preserve"> επιχειρήσεις</w:t>
      </w:r>
      <w:r w:rsidR="00CB7C66" w:rsidRPr="00142E2E">
        <w:rPr>
          <w:b/>
          <w:lang w:val="el-GR"/>
        </w:rPr>
        <w:t>,</w:t>
      </w:r>
      <w:r w:rsidR="00533E87" w:rsidRPr="00142E2E">
        <w:rPr>
          <w:b/>
          <w:lang w:val="el-GR"/>
        </w:rPr>
        <w:t xml:space="preserve"> </w:t>
      </w:r>
      <w:r w:rsidR="00045AD7" w:rsidRPr="00142E2E">
        <w:rPr>
          <w:b/>
          <w:lang w:val="el-GR"/>
        </w:rPr>
        <w:t>διαμόρφωσε</w:t>
      </w:r>
      <w:r w:rsidR="00533E87" w:rsidRPr="00142E2E">
        <w:rPr>
          <w:b/>
          <w:lang w:val="el-GR"/>
        </w:rPr>
        <w:t xml:space="preserve"> το ποσοστό τω</w:t>
      </w:r>
      <w:r w:rsidR="00CB7C66" w:rsidRPr="00142E2E">
        <w:rPr>
          <w:b/>
          <w:lang w:val="el-GR"/>
        </w:rPr>
        <w:t xml:space="preserve">ν εκπτώσεων μεταξύ 21% και 40%, </w:t>
      </w:r>
      <w:r w:rsidR="0040032E" w:rsidRPr="00142E2E">
        <w:rPr>
          <w:b/>
          <w:lang w:val="el-GR"/>
        </w:rPr>
        <w:t>μειωμένο κατά δέκα μονάδες με το αντίστοιχο ποσοστό που εκτιμήθηκε για τις θερινές εκπτώσεις του 2017.</w:t>
      </w:r>
      <w:r w:rsidR="00161AE2">
        <w:rPr>
          <w:lang w:val="el-GR"/>
        </w:rPr>
        <w:t xml:space="preserve"> Αντιθέτως αυξάνεται το ποσοστό των επιχειρήσεων που επέλεξαν μικρότερης τάξης έκπτωση</w:t>
      </w:r>
      <w:r w:rsidR="00A92091">
        <w:rPr>
          <w:lang w:val="el-GR"/>
        </w:rPr>
        <w:t xml:space="preserve">, </w:t>
      </w:r>
      <w:r w:rsidR="00161AE2">
        <w:rPr>
          <w:lang w:val="el-GR"/>
        </w:rPr>
        <w:t>συγκεκριμένα μία στις τέσσερις πραγματοποίησε εκπτώσεις έως και 20%. Τέλος τέσσερις στις δέκα επιχειρήσεις είχαν άνω του 40% έκπτωση στα διαθέσιμα προϊόντα.</w:t>
      </w:r>
    </w:p>
    <w:p w:rsidR="009A2188" w:rsidRPr="00E77415" w:rsidRDefault="009A2188" w:rsidP="00E3567E">
      <w:pPr>
        <w:jc w:val="both"/>
        <w:rPr>
          <w:lang w:val="el-GR"/>
        </w:rPr>
      </w:pPr>
    </w:p>
    <w:p w:rsidR="00E3567E" w:rsidRDefault="00161AE2" w:rsidP="00F05614">
      <w:pPr>
        <w:jc w:val="center"/>
        <w:rPr>
          <w:lang w:val="el-GR"/>
        </w:rPr>
      </w:pPr>
      <w:r w:rsidRPr="00161AE2">
        <w:rPr>
          <w:noProof/>
          <w:lang w:val="el-GR" w:eastAsia="el-GR"/>
        </w:rPr>
        <w:drawing>
          <wp:inline distT="0" distB="0" distL="0" distR="0">
            <wp:extent cx="4419600" cy="3143250"/>
            <wp:effectExtent l="0" t="0" r="0" b="0"/>
            <wp:docPr id="5"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1AE2" w:rsidRDefault="00161AE2" w:rsidP="00612088">
      <w:pPr>
        <w:jc w:val="both"/>
        <w:rPr>
          <w:lang w:val="el-GR"/>
        </w:rPr>
      </w:pPr>
    </w:p>
    <w:p w:rsidR="00161AE2" w:rsidRDefault="00612088" w:rsidP="00612088">
      <w:pPr>
        <w:jc w:val="both"/>
        <w:rPr>
          <w:lang w:val="el-GR"/>
        </w:rPr>
      </w:pPr>
      <w:r>
        <w:rPr>
          <w:lang w:val="el-GR"/>
        </w:rPr>
        <w:t>Όσον αφορά τις πωλήσεις</w:t>
      </w:r>
      <w:r w:rsidR="00734806">
        <w:rPr>
          <w:lang w:val="el-GR"/>
        </w:rPr>
        <w:t>,</w:t>
      </w:r>
      <w:r w:rsidR="00161AE2">
        <w:rPr>
          <w:lang w:val="el-GR"/>
        </w:rPr>
        <w:t xml:space="preserve"> </w:t>
      </w:r>
      <w:r w:rsidR="00A125A5" w:rsidRPr="00142E2E">
        <w:rPr>
          <w:b/>
          <w:lang w:val="el-GR"/>
        </w:rPr>
        <w:t xml:space="preserve">μετά τη βελτίωση που παρατηρήθηκε </w:t>
      </w:r>
      <w:r w:rsidR="002E37E4" w:rsidRPr="00142E2E">
        <w:rPr>
          <w:b/>
          <w:lang w:val="el-GR"/>
        </w:rPr>
        <w:t xml:space="preserve">στις θερινές εκπτώσεις του 2017, </w:t>
      </w:r>
      <w:r w:rsidR="00161AE2" w:rsidRPr="00142E2E">
        <w:rPr>
          <w:b/>
          <w:lang w:val="el-GR"/>
        </w:rPr>
        <w:t xml:space="preserve">η εικόνα σε σύγκριση με τη </w:t>
      </w:r>
      <w:r w:rsidR="002E37E4" w:rsidRPr="00142E2E">
        <w:rPr>
          <w:b/>
          <w:lang w:val="el-GR"/>
        </w:rPr>
        <w:t>χειμερινή</w:t>
      </w:r>
      <w:r w:rsidR="00161AE2" w:rsidRPr="00142E2E">
        <w:rPr>
          <w:b/>
          <w:lang w:val="el-GR"/>
        </w:rPr>
        <w:t xml:space="preserve"> εκπτωτική περίοδο του 2017 δεν φαίνεται να διαφοροποιείται σημαντικά.</w:t>
      </w:r>
      <w:r w:rsidRPr="00142E2E">
        <w:rPr>
          <w:b/>
          <w:lang w:val="el-GR"/>
        </w:rPr>
        <w:t xml:space="preserve"> </w:t>
      </w:r>
      <w:r w:rsidR="00161AE2">
        <w:rPr>
          <w:lang w:val="el-GR"/>
        </w:rPr>
        <w:t>Η</w:t>
      </w:r>
      <w:r w:rsidR="00734806">
        <w:rPr>
          <w:lang w:val="el-GR"/>
        </w:rPr>
        <w:t xml:space="preserve"> πλειονότητα των επιχειρηματιών, σε ποσοστό 6</w:t>
      </w:r>
      <w:r w:rsidR="00161AE2">
        <w:rPr>
          <w:lang w:val="el-GR"/>
        </w:rPr>
        <w:t>6</w:t>
      </w:r>
      <w:r w:rsidR="00734806">
        <w:rPr>
          <w:lang w:val="el-GR"/>
        </w:rPr>
        <w:t xml:space="preserve">%, δήλωσε ότι την </w:t>
      </w:r>
      <w:r w:rsidR="00161AE2">
        <w:rPr>
          <w:lang w:val="el-GR"/>
        </w:rPr>
        <w:t>χειμερινή</w:t>
      </w:r>
      <w:r w:rsidR="00734806">
        <w:rPr>
          <w:lang w:val="el-GR"/>
        </w:rPr>
        <w:t xml:space="preserve"> εκπτωτική περίοδο του 201</w:t>
      </w:r>
      <w:r w:rsidR="00161AE2">
        <w:rPr>
          <w:lang w:val="el-GR"/>
        </w:rPr>
        <w:t>8</w:t>
      </w:r>
      <w:r w:rsidR="00734806">
        <w:rPr>
          <w:lang w:val="el-GR"/>
        </w:rPr>
        <w:t xml:space="preserve"> </w:t>
      </w:r>
      <w:r w:rsidR="00161AE2">
        <w:rPr>
          <w:lang w:val="el-GR"/>
        </w:rPr>
        <w:t xml:space="preserve">οι πωλήσεις </w:t>
      </w:r>
      <w:r w:rsidR="00734806">
        <w:rPr>
          <w:lang w:val="el-GR"/>
        </w:rPr>
        <w:t>ήταν μικρότερες σε σύγκριση με το 201</w:t>
      </w:r>
      <w:r w:rsidR="00161AE2">
        <w:rPr>
          <w:lang w:val="el-GR"/>
        </w:rPr>
        <w:t>7</w:t>
      </w:r>
      <w:r w:rsidR="00A92091">
        <w:rPr>
          <w:lang w:val="el-GR"/>
        </w:rPr>
        <w:t xml:space="preserve">, </w:t>
      </w:r>
      <w:r w:rsidR="00734806">
        <w:rPr>
          <w:lang w:val="el-GR"/>
        </w:rPr>
        <w:t>το 2</w:t>
      </w:r>
      <w:r w:rsidR="00161AE2">
        <w:rPr>
          <w:lang w:val="el-GR"/>
        </w:rPr>
        <w:t>6</w:t>
      </w:r>
      <w:r w:rsidR="00734806">
        <w:rPr>
          <w:lang w:val="el-GR"/>
        </w:rPr>
        <w:t>% ότι παρέμειναν σταθερές</w:t>
      </w:r>
      <w:r w:rsidR="00161AE2">
        <w:rPr>
          <w:lang w:val="el-GR"/>
        </w:rPr>
        <w:t xml:space="preserve"> και </w:t>
      </w:r>
      <w:r w:rsidR="00A92091">
        <w:rPr>
          <w:lang w:val="el-GR"/>
        </w:rPr>
        <w:t xml:space="preserve">το </w:t>
      </w:r>
      <w:r w:rsidR="00161AE2">
        <w:rPr>
          <w:lang w:val="el-GR"/>
        </w:rPr>
        <w:t xml:space="preserve">8% </w:t>
      </w:r>
      <w:r w:rsidR="00A125A5">
        <w:rPr>
          <w:lang w:val="el-GR"/>
        </w:rPr>
        <w:t xml:space="preserve">ότι </w:t>
      </w:r>
      <w:r w:rsidR="00161AE2">
        <w:rPr>
          <w:lang w:val="el-GR"/>
        </w:rPr>
        <w:t xml:space="preserve">κινήθηκαν καλύτερα. </w:t>
      </w:r>
    </w:p>
    <w:p w:rsidR="00161AE2" w:rsidRDefault="00161AE2" w:rsidP="00612088">
      <w:pPr>
        <w:jc w:val="both"/>
        <w:rPr>
          <w:lang w:val="el-GR"/>
        </w:rPr>
      </w:pPr>
    </w:p>
    <w:p w:rsidR="00B51AC6" w:rsidRDefault="00A125A5" w:rsidP="00B51AC6">
      <w:pPr>
        <w:jc w:val="center"/>
        <w:rPr>
          <w:lang w:val="el-GR"/>
        </w:rPr>
      </w:pPr>
      <w:r w:rsidRPr="00A125A5">
        <w:rPr>
          <w:noProof/>
          <w:lang w:val="el-GR" w:eastAsia="el-GR"/>
        </w:rPr>
        <w:lastRenderedPageBreak/>
        <w:drawing>
          <wp:inline distT="0" distB="0" distL="0" distR="0">
            <wp:extent cx="4720901" cy="2836506"/>
            <wp:effectExtent l="19050" t="0" r="22549" b="1944"/>
            <wp:docPr id="6"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25A5" w:rsidRDefault="00A125A5" w:rsidP="0004345E">
      <w:pPr>
        <w:jc w:val="both"/>
        <w:rPr>
          <w:lang w:val="el-GR"/>
        </w:rPr>
      </w:pPr>
    </w:p>
    <w:p w:rsidR="00A125A5" w:rsidRDefault="00B824B6" w:rsidP="00BA77D5">
      <w:pPr>
        <w:jc w:val="both"/>
        <w:rPr>
          <w:lang w:val="el-GR"/>
        </w:rPr>
      </w:pPr>
      <w:r>
        <w:rPr>
          <w:lang w:val="el-GR"/>
        </w:rPr>
        <w:t xml:space="preserve">Από τις επιχειρήσεις που παρουσίασαν μικρότερο τζίρο στις </w:t>
      </w:r>
      <w:r w:rsidR="00A125A5">
        <w:rPr>
          <w:lang w:val="el-GR"/>
        </w:rPr>
        <w:t>χειμερινές</w:t>
      </w:r>
      <w:r>
        <w:rPr>
          <w:lang w:val="el-GR"/>
        </w:rPr>
        <w:t xml:space="preserve"> εκπτώσεις του 201</w:t>
      </w:r>
      <w:r w:rsidR="00A125A5">
        <w:rPr>
          <w:lang w:val="el-GR"/>
        </w:rPr>
        <w:t>8</w:t>
      </w:r>
      <w:r>
        <w:rPr>
          <w:lang w:val="el-GR"/>
        </w:rPr>
        <w:t xml:space="preserve"> σε σύγκριση με το 201</w:t>
      </w:r>
      <w:r w:rsidR="00A125A5">
        <w:rPr>
          <w:lang w:val="el-GR"/>
        </w:rPr>
        <w:t>7</w:t>
      </w:r>
      <w:r>
        <w:rPr>
          <w:lang w:val="el-GR"/>
        </w:rPr>
        <w:t xml:space="preserve"> τέσσερις στις δέκα είχαν μείωση έως 20%, </w:t>
      </w:r>
      <w:r w:rsidR="00A125A5">
        <w:rPr>
          <w:lang w:val="el-GR"/>
        </w:rPr>
        <w:t xml:space="preserve">το ίδιο </w:t>
      </w:r>
      <w:r w:rsidR="00A92091">
        <w:rPr>
          <w:lang w:val="el-GR"/>
        </w:rPr>
        <w:t xml:space="preserve">περίπου </w:t>
      </w:r>
      <w:r w:rsidR="00A125A5">
        <w:rPr>
          <w:lang w:val="el-GR"/>
        </w:rPr>
        <w:t>ποσοστό εμφάνισε μείωση μεταξύ 21% και 40% και 16% των επιχειρήσεων παρουσίασε μείωση πωλήσεων άνω του 40%</w:t>
      </w:r>
      <w:r w:rsidR="00A92091">
        <w:rPr>
          <w:lang w:val="el-GR"/>
        </w:rPr>
        <w:t>.</w:t>
      </w:r>
    </w:p>
    <w:p w:rsidR="00B824B6" w:rsidRDefault="00A125A5" w:rsidP="00B51BF1">
      <w:pPr>
        <w:jc w:val="center"/>
      </w:pPr>
      <w:r w:rsidRPr="00A125A5">
        <w:rPr>
          <w:noProof/>
          <w:lang w:val="el-GR" w:eastAsia="el-GR"/>
        </w:rPr>
        <w:drawing>
          <wp:inline distT="0" distB="0" distL="0" distR="0">
            <wp:extent cx="4905375" cy="2628900"/>
            <wp:effectExtent l="19050" t="0" r="9525" b="0"/>
            <wp:docPr id="7"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24B6" w:rsidRDefault="00B824B6" w:rsidP="00BA77D5">
      <w:pPr>
        <w:jc w:val="both"/>
      </w:pPr>
    </w:p>
    <w:p w:rsidR="00DB4B9B" w:rsidRDefault="00B51BF1" w:rsidP="00DB4B9B">
      <w:pPr>
        <w:jc w:val="both"/>
        <w:rPr>
          <w:lang w:val="el-GR"/>
        </w:rPr>
      </w:pPr>
      <w:r w:rsidRPr="00142E2E">
        <w:rPr>
          <w:b/>
          <w:lang w:val="el-GR"/>
        </w:rPr>
        <w:t>Η πλειονότητα των επιχειρηματιών</w:t>
      </w:r>
      <w:r w:rsidR="00A125A5" w:rsidRPr="00142E2E">
        <w:rPr>
          <w:b/>
          <w:lang w:val="el-GR"/>
        </w:rPr>
        <w:t xml:space="preserve"> σε ποσοστό 58%</w:t>
      </w:r>
      <w:r w:rsidRPr="00142E2E">
        <w:rPr>
          <w:b/>
          <w:lang w:val="el-GR"/>
        </w:rPr>
        <w:t xml:space="preserve">, </w:t>
      </w:r>
      <w:r w:rsidR="00A92091" w:rsidRPr="00142E2E">
        <w:rPr>
          <w:b/>
          <w:lang w:val="el-GR"/>
        </w:rPr>
        <w:t>δήλωσε ότι</w:t>
      </w:r>
      <w:r w:rsidR="00DB4B9B" w:rsidRPr="00142E2E">
        <w:rPr>
          <w:b/>
          <w:lang w:val="el-GR"/>
        </w:rPr>
        <w:t xml:space="preserve"> η καλύτερη περίοδος των </w:t>
      </w:r>
      <w:r w:rsidR="00A125A5" w:rsidRPr="00142E2E">
        <w:rPr>
          <w:b/>
          <w:lang w:val="el-GR"/>
        </w:rPr>
        <w:t>χειμερινών</w:t>
      </w:r>
      <w:r w:rsidR="00A92091" w:rsidRPr="00142E2E">
        <w:rPr>
          <w:b/>
          <w:lang w:val="el-GR"/>
        </w:rPr>
        <w:t xml:space="preserve"> εκπτώσεων </w:t>
      </w:r>
      <w:r w:rsidRPr="00142E2E">
        <w:rPr>
          <w:b/>
          <w:lang w:val="el-GR"/>
        </w:rPr>
        <w:t>ήταν</w:t>
      </w:r>
      <w:r w:rsidR="00DB4B9B" w:rsidRPr="00142E2E">
        <w:rPr>
          <w:b/>
          <w:lang w:val="el-GR"/>
        </w:rPr>
        <w:t xml:space="preserve"> </w:t>
      </w:r>
      <w:r w:rsidR="00A125A5" w:rsidRPr="00142E2E">
        <w:rPr>
          <w:b/>
          <w:lang w:val="el-GR"/>
        </w:rPr>
        <w:t xml:space="preserve">από 8/1 έως 31/1, </w:t>
      </w:r>
      <w:r w:rsidR="00A125A5">
        <w:rPr>
          <w:lang w:val="el-GR"/>
        </w:rPr>
        <w:t xml:space="preserve">ένας στους τέσσερις δήλωσε ότι ο Φεβρουάριος αποτέλεσε την καλύτερη περίοδο των εκπτώσεων και 14% των επιχειρηματιών δεν παρατήρησε κάποια σημαντική διαφοροποίηση.  </w:t>
      </w:r>
      <w:r w:rsidR="00DB4B9B">
        <w:rPr>
          <w:lang w:val="el-GR"/>
        </w:rPr>
        <w:t xml:space="preserve"> </w:t>
      </w:r>
    </w:p>
    <w:p w:rsidR="00A125A5" w:rsidRPr="00B51BF1" w:rsidRDefault="00A125A5" w:rsidP="00DB4B9B">
      <w:pPr>
        <w:jc w:val="both"/>
        <w:rPr>
          <w:lang w:val="el-GR"/>
        </w:rPr>
      </w:pPr>
    </w:p>
    <w:p w:rsidR="00DB4B9B" w:rsidRDefault="00A125A5" w:rsidP="00533E87">
      <w:pPr>
        <w:jc w:val="center"/>
        <w:rPr>
          <w:lang w:val="el-GR"/>
        </w:rPr>
      </w:pPr>
      <w:r w:rsidRPr="00A125A5">
        <w:rPr>
          <w:noProof/>
          <w:lang w:val="el-GR" w:eastAsia="el-GR"/>
        </w:rPr>
        <w:drawing>
          <wp:inline distT="0" distB="0" distL="0" distR="0">
            <wp:extent cx="4572000" cy="3209925"/>
            <wp:effectExtent l="19050" t="0" r="19050" b="0"/>
            <wp:docPr id="8"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4B9B" w:rsidRPr="00684AF1" w:rsidRDefault="00684AF1" w:rsidP="00684AF1">
      <w:pPr>
        <w:jc w:val="both"/>
        <w:rPr>
          <w:lang w:val="el-GR"/>
        </w:rPr>
      </w:pPr>
      <w:r>
        <w:rPr>
          <w:lang w:val="el-GR"/>
        </w:rPr>
        <w:t xml:space="preserve">Όσον αφορά τον τρόπο πληρωμής που επέλεξαν οι καταναλωτές για τις αγορές τους εντός των </w:t>
      </w:r>
      <w:r w:rsidR="00A125A5">
        <w:rPr>
          <w:lang w:val="el-GR"/>
        </w:rPr>
        <w:t>χειμερινών</w:t>
      </w:r>
      <w:r>
        <w:rPr>
          <w:lang w:val="el-GR"/>
        </w:rPr>
        <w:t xml:space="preserve"> εκπτώσεων, το 5</w:t>
      </w:r>
      <w:r w:rsidR="00A125A5">
        <w:rPr>
          <w:lang w:val="el-GR"/>
        </w:rPr>
        <w:t>1</w:t>
      </w:r>
      <w:r>
        <w:rPr>
          <w:lang w:val="el-GR"/>
        </w:rPr>
        <w:t xml:space="preserve">% των </w:t>
      </w:r>
      <w:r w:rsidR="00C31B0F">
        <w:rPr>
          <w:lang w:val="el-GR"/>
        </w:rPr>
        <w:t>επιχειρηματιών</w:t>
      </w:r>
      <w:r>
        <w:rPr>
          <w:lang w:val="el-GR"/>
        </w:rPr>
        <w:t xml:space="preserve"> απάντησε ότι ήταν </w:t>
      </w:r>
      <w:r w:rsidR="00C31B0F">
        <w:rPr>
          <w:lang w:val="el-GR"/>
        </w:rPr>
        <w:t xml:space="preserve">κυρίως </w:t>
      </w:r>
      <w:r w:rsidR="00636491">
        <w:rPr>
          <w:lang w:val="el-GR"/>
        </w:rPr>
        <w:t xml:space="preserve">με κάρτες, </w:t>
      </w:r>
      <w:r>
        <w:rPr>
          <w:lang w:val="el-GR"/>
        </w:rPr>
        <w:t xml:space="preserve">το </w:t>
      </w:r>
      <w:r w:rsidR="00A125A5">
        <w:rPr>
          <w:lang w:val="el-GR"/>
        </w:rPr>
        <w:t>31</w:t>
      </w:r>
      <w:r>
        <w:rPr>
          <w:lang w:val="el-GR"/>
        </w:rPr>
        <w:t xml:space="preserve">% ότι χρησιμοποίησαν κάρτες και μετρητά στον ίδιο βαθμό και το </w:t>
      </w:r>
      <w:r w:rsidR="00A125A5">
        <w:rPr>
          <w:lang w:val="el-GR"/>
        </w:rPr>
        <w:t>18</w:t>
      </w:r>
      <w:r>
        <w:rPr>
          <w:lang w:val="el-GR"/>
        </w:rPr>
        <w:t>% κυρίως με μετρητά.</w:t>
      </w:r>
    </w:p>
    <w:p w:rsidR="00DB4B9B" w:rsidRPr="00684AF1" w:rsidRDefault="00DB4B9B" w:rsidP="00533E87">
      <w:pPr>
        <w:jc w:val="center"/>
        <w:rPr>
          <w:rFonts w:ascii="Times New Roman" w:hAnsi="Times New Roman"/>
          <w:sz w:val="24"/>
          <w:szCs w:val="24"/>
          <w:lang w:val="el-GR"/>
        </w:rPr>
      </w:pPr>
    </w:p>
    <w:p w:rsidR="00B51BF1" w:rsidRDefault="00A125A5" w:rsidP="00533E87">
      <w:pPr>
        <w:jc w:val="center"/>
        <w:rPr>
          <w:rFonts w:ascii="Times New Roman" w:hAnsi="Times New Roman"/>
          <w:sz w:val="24"/>
          <w:szCs w:val="24"/>
        </w:rPr>
      </w:pPr>
      <w:r w:rsidRPr="00A125A5">
        <w:rPr>
          <w:rFonts w:ascii="Times New Roman" w:hAnsi="Times New Roman"/>
          <w:noProof/>
          <w:sz w:val="24"/>
          <w:szCs w:val="24"/>
          <w:lang w:val="el-GR" w:eastAsia="el-GR"/>
        </w:rPr>
        <w:drawing>
          <wp:inline distT="0" distB="0" distL="0" distR="0">
            <wp:extent cx="4610100" cy="2886075"/>
            <wp:effectExtent l="0" t="0" r="0" b="9525"/>
            <wp:docPr id="9"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41A4" w:rsidRDefault="00DB4B9B" w:rsidP="007A02B6">
      <w:pPr>
        <w:jc w:val="both"/>
        <w:rPr>
          <w:lang w:val="el-GR"/>
        </w:rPr>
      </w:pPr>
      <w:r w:rsidRPr="007A02B6">
        <w:rPr>
          <w:lang w:val="el-GR"/>
        </w:rPr>
        <w:t>Για τα καταστήματα που άνοιξαν την Κυριακή 1</w:t>
      </w:r>
      <w:r w:rsidR="00A125A5">
        <w:rPr>
          <w:lang w:val="el-GR"/>
        </w:rPr>
        <w:t>4</w:t>
      </w:r>
      <w:r w:rsidRPr="007A02B6">
        <w:rPr>
          <w:lang w:val="el-GR"/>
        </w:rPr>
        <w:t xml:space="preserve"> </w:t>
      </w:r>
      <w:r w:rsidR="00A125A5">
        <w:rPr>
          <w:lang w:val="el-GR"/>
        </w:rPr>
        <w:t>Ιανουαρίου</w:t>
      </w:r>
      <w:r w:rsidR="001B41A4">
        <w:rPr>
          <w:lang w:val="el-GR"/>
        </w:rPr>
        <w:t>, σε σύγκριση με τη θερινή περίοδο του 2017, εκτιμήθηκε το ποσοστό των επιχειρηματιών που δηλώνει ότι η λειτουργία του καταστήματός τους την εν λόγω ημέρα δεν επηρέασε</w:t>
      </w:r>
      <w:r w:rsidR="002F6AC2">
        <w:rPr>
          <w:lang w:val="el-GR"/>
        </w:rPr>
        <w:t xml:space="preserve"> το</w:t>
      </w:r>
      <w:r w:rsidR="00EF4052">
        <w:rPr>
          <w:lang w:val="el-GR"/>
        </w:rPr>
        <w:t>ν</w:t>
      </w:r>
      <w:r w:rsidR="001B41A4">
        <w:rPr>
          <w:lang w:val="el-GR"/>
        </w:rPr>
        <w:t xml:space="preserve"> συνολικό τζίρο της εκπτωτικής περιόδου. Ένας στους τέσσερις επιχειρηματίες πιστεύει ότι η λειτουργία του καταστήματος την Κυριακή 14 </w:t>
      </w:r>
      <w:r w:rsidR="002F6AC2">
        <w:rPr>
          <w:lang w:val="el-GR"/>
        </w:rPr>
        <w:t>Ιανουαρίου επηρέασε αρνητικά το</w:t>
      </w:r>
      <w:r w:rsidR="00EF4052">
        <w:rPr>
          <w:lang w:val="el-GR"/>
        </w:rPr>
        <w:t>ν</w:t>
      </w:r>
      <w:r w:rsidR="001B41A4">
        <w:rPr>
          <w:lang w:val="el-GR"/>
        </w:rPr>
        <w:t xml:space="preserve"> συνολικό τζίρο και μόλις το 2% ότι τον επηρέασε θετικά.</w:t>
      </w:r>
    </w:p>
    <w:p w:rsidR="00DB4B9B" w:rsidRDefault="00BB3F3C" w:rsidP="00684AF1">
      <w:pPr>
        <w:spacing w:after="0" w:line="240" w:lineRule="auto"/>
        <w:jc w:val="center"/>
        <w:rPr>
          <w:rFonts w:ascii="Times New Roman" w:hAnsi="Times New Roman"/>
          <w:sz w:val="24"/>
          <w:szCs w:val="24"/>
          <w:lang w:val="el-GR"/>
        </w:rPr>
      </w:pPr>
      <w:r w:rsidRPr="00BB3F3C">
        <w:rPr>
          <w:rFonts w:ascii="Times New Roman" w:hAnsi="Times New Roman"/>
          <w:noProof/>
          <w:sz w:val="24"/>
          <w:szCs w:val="24"/>
          <w:lang w:val="el-GR" w:eastAsia="el-GR"/>
        </w:rPr>
        <w:drawing>
          <wp:inline distT="0" distB="0" distL="0" distR="0">
            <wp:extent cx="4438650" cy="2790825"/>
            <wp:effectExtent l="0" t="0" r="0" b="9525"/>
            <wp:docPr id="10"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4B9B" w:rsidRDefault="00DB4B9B" w:rsidP="006D4B3C">
      <w:pPr>
        <w:rPr>
          <w:lang w:val="el-GR"/>
        </w:rPr>
      </w:pPr>
    </w:p>
    <w:p w:rsidR="003C09A8" w:rsidRPr="00182935" w:rsidRDefault="00684AF1" w:rsidP="00E22221">
      <w:pPr>
        <w:jc w:val="both"/>
        <w:rPr>
          <w:lang w:val="el-GR"/>
        </w:rPr>
      </w:pPr>
      <w:r>
        <w:rPr>
          <w:lang w:val="el-GR"/>
        </w:rPr>
        <w:t>Η πλειονότητα των επιχειρηματιών που άνοιξαν την Κυριακή 1</w:t>
      </w:r>
      <w:r w:rsidR="00BB3F3C">
        <w:rPr>
          <w:lang w:val="el-GR"/>
        </w:rPr>
        <w:t>4</w:t>
      </w:r>
      <w:r w:rsidRPr="00684AF1">
        <w:rPr>
          <w:lang w:val="el-GR"/>
        </w:rPr>
        <w:t xml:space="preserve"> </w:t>
      </w:r>
      <w:r w:rsidR="00BB3F3C">
        <w:rPr>
          <w:lang w:val="el-GR"/>
        </w:rPr>
        <w:t>Ιανουαρίου</w:t>
      </w:r>
      <w:r>
        <w:rPr>
          <w:lang w:val="el-GR"/>
        </w:rPr>
        <w:t xml:space="preserve"> τα καταστήματά τους, έχουν επωμιστεί οι ίδιοι την κάλυψη της ανάγκης απασχόλησης προσωπικού</w:t>
      </w:r>
      <w:r w:rsidRPr="00684AF1">
        <w:rPr>
          <w:lang w:val="el-GR"/>
        </w:rPr>
        <w:t xml:space="preserve">, </w:t>
      </w:r>
      <w:r>
        <w:rPr>
          <w:lang w:val="el-GR"/>
        </w:rPr>
        <w:t xml:space="preserve">ενώ το </w:t>
      </w:r>
      <w:r w:rsidR="00BB3F3C">
        <w:rPr>
          <w:lang w:val="el-GR"/>
        </w:rPr>
        <w:t>24</w:t>
      </w:r>
      <w:r w:rsidRPr="00684AF1">
        <w:rPr>
          <w:lang w:val="el-GR"/>
        </w:rPr>
        <w:t xml:space="preserve">% </w:t>
      </w:r>
      <w:r>
        <w:rPr>
          <w:lang w:val="el-GR"/>
        </w:rPr>
        <w:t>έχει επεκτείνει το ωρά</w:t>
      </w:r>
      <w:r w:rsidR="00BB3F3C">
        <w:rPr>
          <w:lang w:val="el-GR"/>
        </w:rPr>
        <w:t>ριο των υπαλλήλων που απασχολεί, τέλος μόλις 1% έχει προσλάβει επιπλέον υπάλληλο για την κάλυψη της ανάγκης.</w:t>
      </w:r>
    </w:p>
    <w:p w:rsidR="00E22221" w:rsidRDefault="00BB3F3C" w:rsidP="00DB4B9B">
      <w:pPr>
        <w:jc w:val="center"/>
        <w:rPr>
          <w:lang w:val="el-GR"/>
        </w:rPr>
      </w:pPr>
      <w:r w:rsidRPr="00BB3F3C">
        <w:rPr>
          <w:noProof/>
          <w:lang w:val="el-GR" w:eastAsia="el-GR"/>
        </w:rPr>
        <w:drawing>
          <wp:inline distT="0" distB="0" distL="0" distR="0">
            <wp:extent cx="4981575" cy="2990850"/>
            <wp:effectExtent l="19050" t="0" r="9525" b="0"/>
            <wp:docPr id="13"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1DC8" w:rsidRDefault="00C11DC8" w:rsidP="00E14568">
      <w:pPr>
        <w:jc w:val="center"/>
        <w:rPr>
          <w:lang w:val="el-GR"/>
        </w:rPr>
      </w:pPr>
    </w:p>
    <w:p w:rsidR="009B0EC0" w:rsidRDefault="009B0EC0" w:rsidP="00E14568">
      <w:pPr>
        <w:jc w:val="center"/>
        <w:rPr>
          <w:lang w:val="el-GR"/>
        </w:rPr>
      </w:pPr>
    </w:p>
    <w:p w:rsidR="009B0EC0" w:rsidRDefault="009B0EC0" w:rsidP="00E14568">
      <w:pPr>
        <w:jc w:val="center"/>
        <w:rPr>
          <w:lang w:val="el-GR"/>
        </w:rPr>
      </w:pPr>
    </w:p>
    <w:p w:rsidR="007360C5" w:rsidRDefault="007360C5" w:rsidP="00636491">
      <w:pPr>
        <w:rPr>
          <w:lang w:val="el-GR"/>
        </w:rPr>
      </w:pPr>
    </w:p>
    <w:p w:rsidR="007360C5" w:rsidRPr="009A2188" w:rsidRDefault="007360C5" w:rsidP="007360C5">
      <w:pPr>
        <w:pStyle w:val="a4"/>
        <w:jc w:val="center"/>
        <w:rPr>
          <w:rFonts w:asciiTheme="minorHAnsi" w:hAnsiTheme="minorHAnsi"/>
          <w:b/>
          <w:i/>
          <w:sz w:val="28"/>
          <w:szCs w:val="28"/>
          <w:u w:val="single"/>
        </w:rPr>
      </w:pPr>
      <w:r w:rsidRPr="009A2188">
        <w:rPr>
          <w:rFonts w:asciiTheme="minorHAnsi" w:hAnsiTheme="minorHAnsi"/>
          <w:b/>
          <w:i/>
          <w:sz w:val="28"/>
          <w:szCs w:val="28"/>
          <w:u w:val="single"/>
        </w:rPr>
        <w:t>Η κίνηση της φετινής χειμερινής εκπτωτικής περιόδου στις συμβεβλημένες εμπορικές επιχειρήσεις των ΑΚΕ σε Πειραιά – Θεσσαλονίκη – Πάτρα  – Αλεξανδρούπολη</w:t>
      </w:r>
    </w:p>
    <w:p w:rsidR="007360C5" w:rsidRPr="0052545A" w:rsidRDefault="007360C5" w:rsidP="007360C5">
      <w:pPr>
        <w:rPr>
          <w:rFonts w:ascii="Georgia" w:hAnsi="Georgia"/>
          <w:b/>
          <w:lang w:val="el-GR"/>
        </w:rPr>
      </w:pPr>
    </w:p>
    <w:p w:rsidR="007360C5" w:rsidRDefault="007360C5" w:rsidP="007360C5">
      <w:pPr>
        <w:jc w:val="both"/>
        <w:rPr>
          <w:lang w:val="el-GR"/>
        </w:rPr>
      </w:pPr>
      <w:r w:rsidRPr="0052545A">
        <w:rPr>
          <w:lang w:val="el-GR"/>
        </w:rPr>
        <w:t xml:space="preserve">Σε συνέχεια των προηγούμενων τακτικών ερευνών του Ινστιτούτου που πραγματοποιήθηκαν στις συμβεβλημένες εμπορικές </w:t>
      </w:r>
      <w:r w:rsidRPr="00277B79">
        <w:t> </w:t>
      </w:r>
      <w:r w:rsidRPr="0052545A">
        <w:rPr>
          <w:lang w:val="el-GR"/>
        </w:rPr>
        <w:t xml:space="preserve">επιχειρήσεις του </w:t>
      </w:r>
      <w:r w:rsidRPr="00277B79">
        <w:t>Open</w:t>
      </w:r>
      <w:r w:rsidRPr="0052545A">
        <w:rPr>
          <w:lang w:val="el-GR"/>
        </w:rPr>
        <w:t xml:space="preserve"> </w:t>
      </w:r>
      <w:r w:rsidRPr="00277B79">
        <w:t>Mall</w:t>
      </w:r>
      <w:r w:rsidRPr="0052545A">
        <w:rPr>
          <w:lang w:val="el-GR"/>
        </w:rPr>
        <w:t xml:space="preserve"> του Πειραιά, της Θεσσαλονίκης, της Πάτρας και της Αλεξανδρούπολης, θα παρουσιαστούν τα ευρήματα της έρευνας για την κίνηση κατά την </w:t>
      </w:r>
      <w:r>
        <w:rPr>
          <w:lang w:val="el-GR"/>
        </w:rPr>
        <w:t>χειμερινή εκπτωτική περίοδο</w:t>
      </w:r>
      <w:r w:rsidRPr="0052545A">
        <w:rPr>
          <w:lang w:val="el-GR"/>
        </w:rPr>
        <w:t xml:space="preserve"> για τις συγκεκριμένες επιχειρήσεις. Τα αποτελέσματα για τις επιχειρήσεις των ΑΚΕ παρουσιάζονται συνολικά και δεν λαμβάνουν υπόψη τις ιδιαίτερες περιπτώσεις κάθε τοπικής αγοράς.</w:t>
      </w:r>
    </w:p>
    <w:p w:rsidR="007360C5" w:rsidRDefault="007360C5" w:rsidP="007360C5">
      <w:pPr>
        <w:jc w:val="both"/>
        <w:rPr>
          <w:lang w:val="el-GR"/>
        </w:rPr>
      </w:pPr>
      <w:r>
        <w:rPr>
          <w:lang w:val="el-GR"/>
        </w:rPr>
        <w:t>Το ποσοστό των εκπτώσεων στα καταστήματα των ΑΚΕ δεν διαφοροποιείται σημαντικά από το γενικό πληθυσμό. Και εδώ η πλειονότητα των επιχειρήσεων πραγματοποίησε εκπτώσεις της τάξης μεταξύ 21% και 40%, καθώς και μία στις τρεις επιχειρήσεις είχαν εκπτώσεις στα προϊόντα τους μεταξύ 41% και 50%.</w:t>
      </w:r>
    </w:p>
    <w:p w:rsidR="007360C5" w:rsidRDefault="007360C5" w:rsidP="007360C5">
      <w:pPr>
        <w:jc w:val="both"/>
        <w:rPr>
          <w:lang w:val="el-GR"/>
        </w:rPr>
      </w:pPr>
    </w:p>
    <w:p w:rsidR="007360C5" w:rsidRDefault="007360C5" w:rsidP="007360C5">
      <w:pPr>
        <w:jc w:val="center"/>
        <w:rPr>
          <w:lang w:val="el-GR"/>
        </w:rPr>
      </w:pPr>
      <w:r w:rsidRPr="007360C5">
        <w:rPr>
          <w:noProof/>
          <w:lang w:val="el-GR" w:eastAsia="el-GR"/>
        </w:rPr>
        <w:drawing>
          <wp:inline distT="0" distB="0" distL="0" distR="0">
            <wp:extent cx="4572000" cy="3238500"/>
            <wp:effectExtent l="0" t="0" r="0" b="0"/>
            <wp:docPr id="29" name="Γράφημα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60C5" w:rsidRDefault="007360C5" w:rsidP="007360C5">
      <w:pPr>
        <w:jc w:val="both"/>
        <w:rPr>
          <w:lang w:val="el-GR"/>
        </w:rPr>
      </w:pPr>
    </w:p>
    <w:p w:rsidR="007360C5" w:rsidRDefault="007360C5" w:rsidP="007360C5">
      <w:pPr>
        <w:jc w:val="both"/>
        <w:rPr>
          <w:lang w:val="el-GR"/>
        </w:rPr>
      </w:pPr>
      <w:r>
        <w:rPr>
          <w:lang w:val="el-GR"/>
        </w:rPr>
        <w:t xml:space="preserve">Η διαπίστωση ότι τη φετινή χειμερινή εκπτωτική περίοδο οι επιχειρήσεις </w:t>
      </w:r>
      <w:r w:rsidR="00F53BA1">
        <w:rPr>
          <w:lang w:val="el-GR"/>
        </w:rPr>
        <w:t xml:space="preserve">ως </w:t>
      </w:r>
      <w:r>
        <w:rPr>
          <w:lang w:val="el-GR"/>
        </w:rPr>
        <w:t>επί το πλείστον είχαν πτώση στις πωλήσεις τους σε σύγκριση με πέρ</w:t>
      </w:r>
      <w:r w:rsidR="0047079E">
        <w:rPr>
          <w:lang w:val="el-GR"/>
        </w:rPr>
        <w:t>υ</w:t>
      </w:r>
      <w:r>
        <w:rPr>
          <w:lang w:val="el-GR"/>
        </w:rPr>
        <w:t>σι, ισχύει και για τις επιχειρήσεις των ΑΚΕ. Συγκεκριμένα το 65% δήλωσε ότι το 2018 οι πωλήσεις κινήθηκαν σε χαμηλότερα επίπεδα, το 29% στα ίδια επίπεδα και 6% σε υψηλότερα.</w:t>
      </w:r>
    </w:p>
    <w:p w:rsidR="007360C5" w:rsidRDefault="007360C5" w:rsidP="007360C5">
      <w:pPr>
        <w:jc w:val="center"/>
        <w:rPr>
          <w:lang w:val="el-GR"/>
        </w:rPr>
      </w:pPr>
      <w:r w:rsidRPr="007360C5">
        <w:rPr>
          <w:noProof/>
          <w:lang w:val="el-GR" w:eastAsia="el-GR"/>
        </w:rPr>
        <w:drawing>
          <wp:inline distT="0" distB="0" distL="0" distR="0">
            <wp:extent cx="4514850" cy="2686050"/>
            <wp:effectExtent l="0" t="0" r="0" b="0"/>
            <wp:docPr id="30" name="Γράφημα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60C5" w:rsidRDefault="007360C5" w:rsidP="007360C5">
      <w:pPr>
        <w:jc w:val="both"/>
        <w:rPr>
          <w:lang w:val="el-GR"/>
        </w:rPr>
      </w:pPr>
    </w:p>
    <w:p w:rsidR="00CD4A69" w:rsidRDefault="00CD4A69" w:rsidP="00CD4A69">
      <w:pPr>
        <w:pStyle w:val="Web"/>
      </w:pPr>
      <w:r>
        <w:rPr>
          <w:rStyle w:val="a8"/>
        </w:rPr>
        <w:t xml:space="preserve">Ο Πρόεδρος της ΕΣΕΕ κ. Βασίλης </w:t>
      </w:r>
      <w:proofErr w:type="spellStart"/>
      <w:r>
        <w:rPr>
          <w:rStyle w:val="a8"/>
        </w:rPr>
        <w:t>Κορκίδης</w:t>
      </w:r>
      <w:proofErr w:type="spellEnd"/>
      <w:r>
        <w:rPr>
          <w:rStyle w:val="a8"/>
        </w:rPr>
        <w:t xml:space="preserve"> δήλωσε σχετικά:</w:t>
      </w:r>
    </w:p>
    <w:p w:rsidR="009F495F" w:rsidRPr="009F495F" w:rsidRDefault="009F495F" w:rsidP="009F495F">
      <w:pPr>
        <w:jc w:val="both"/>
        <w:rPr>
          <w:rFonts w:eastAsia="Times New Roman"/>
          <w:lang w:val="el-GR"/>
        </w:rPr>
      </w:pPr>
      <w:r w:rsidRPr="009F495F">
        <w:rPr>
          <w:rFonts w:eastAsia="Times New Roman"/>
          <w:lang w:val="el-GR"/>
        </w:rPr>
        <w:t>«</w:t>
      </w:r>
      <w:r w:rsidRPr="009F495F">
        <w:rPr>
          <w:rFonts w:eastAsia="Times New Roman"/>
          <w:iCs/>
          <w:lang w:val="el-GR"/>
        </w:rPr>
        <w:t>Μόλις τελείωσε μία εκπτωτική περίοδος, η οποία όπως φαίνεται από τα διαθέσιμα στοιχεία της έρευνας του Ινστιτούτου Εμπορίου και Υπηρεσιών, χαρακτηρίστηκε από ένα υποτονικό κλίμα, με επιστροφή στα αρνητικά πρόσημα τόσο σε αγοραστική κίνηση όσο και σε τζίρο. Ωστόσο</w:t>
      </w:r>
      <w:r w:rsidRPr="009F495F">
        <w:rPr>
          <w:rFonts w:eastAsia="Times New Roman"/>
          <w:lang w:val="el-GR"/>
        </w:rPr>
        <w:t xml:space="preserve">, για μία ακόμα περίοδο εκπτώσεων, οι εμπορικές επιχειρήσεις διατήρησαν χαμηλές τιμές και ανταποκρίθηκαν με συνέπεια στις απαιτήσεις των καταναλωτών. </w:t>
      </w:r>
      <w:r w:rsidRPr="009F495F">
        <w:rPr>
          <w:rFonts w:eastAsia="Times New Roman"/>
          <w:iCs/>
          <w:lang w:val="el-GR"/>
        </w:rPr>
        <w:t xml:space="preserve">Στόχος μας, ήταν να διατηρήσουμε το ψυχολογικό θετικό πρόσημο των εορτών και στις χειμερινές εκπτώσεις, ξεπερνώντας τον περυσινό τζίρο του πρώτου διμήνου των 5,5 δις ευρώ. </w:t>
      </w:r>
      <w:r w:rsidRPr="009F495F">
        <w:rPr>
          <w:rFonts w:eastAsia="Times New Roman"/>
          <w:lang w:val="el-GR"/>
        </w:rPr>
        <w:t xml:space="preserve">Παρά </w:t>
      </w:r>
      <w:r>
        <w:rPr>
          <w:rFonts w:eastAsia="Times New Roman"/>
          <w:lang w:val="el-GR"/>
        </w:rPr>
        <w:t>όμως,</w:t>
      </w:r>
      <w:r w:rsidRPr="009F495F">
        <w:rPr>
          <w:rFonts w:eastAsia="Times New Roman"/>
          <w:lang w:val="el-GR"/>
        </w:rPr>
        <w:t xml:space="preserve"> τις π</w:t>
      </w:r>
      <w:r>
        <w:rPr>
          <w:rFonts w:eastAsia="Times New Roman"/>
          <w:lang w:val="el-GR"/>
        </w:rPr>
        <w:t>ροσδοκίες που είχαν διαμορφωθεί</w:t>
      </w:r>
      <w:r w:rsidRPr="009F495F">
        <w:rPr>
          <w:rFonts w:eastAsia="Times New Roman"/>
          <w:lang w:val="el-GR"/>
        </w:rPr>
        <w:t xml:space="preserve"> ο τζίρος των επιχειρήσεων το πρώτο δίμηνο του 2018 εκτιμάται ότι μειώθηκε κατά 8,8%, μειώνοντας κατά περίπου 480 εκ. ευρώ τις πωλήσεις του πρώτου διμήνου φέτος, σε σύγκριση με το αντίστοιχο </w:t>
      </w:r>
      <w:r w:rsidR="00491FCE">
        <w:rPr>
          <w:rFonts w:eastAsia="Times New Roman"/>
          <w:lang w:val="el-GR"/>
        </w:rPr>
        <w:t>περσινό</w:t>
      </w:r>
      <w:r w:rsidRPr="009F495F">
        <w:rPr>
          <w:rFonts w:eastAsia="Times New Roman"/>
          <w:lang w:val="el-GR"/>
        </w:rPr>
        <w:t>.</w:t>
      </w:r>
      <w:r w:rsidR="00491FCE">
        <w:rPr>
          <w:rFonts w:eastAsia="Times New Roman"/>
          <w:lang w:val="el-GR"/>
        </w:rPr>
        <w:t xml:space="preserve"> </w:t>
      </w:r>
      <w:bookmarkStart w:id="0" w:name="_GoBack"/>
      <w:bookmarkEnd w:id="0"/>
      <w:r w:rsidRPr="009F495F">
        <w:rPr>
          <w:rFonts w:eastAsia="Times New Roman"/>
          <w:lang w:val="el-GR"/>
        </w:rPr>
        <w:t>Το 2018, λοιπόν, δεν ξεκίνησε με τον τρόπο που τελείωσε το 2017 για το λιανικό εμπόριο. Παρ</w:t>
      </w:r>
      <w:r>
        <w:rPr>
          <w:rFonts w:eastAsia="Times New Roman"/>
          <w:lang w:val="el-GR"/>
        </w:rPr>
        <w:t>’</w:t>
      </w:r>
      <w:r w:rsidRPr="009F495F">
        <w:rPr>
          <w:rFonts w:eastAsia="Times New Roman"/>
          <w:lang w:val="el-GR"/>
        </w:rPr>
        <w:t xml:space="preserve"> όλα αυτά όλοι αντιλαμβανόμαστε ότι η αγορά βρίσκεται σε μία διαδικασία συνολικής προσαρμογής, σημάδια της οποίας είναι και αυτές οι αυξομειώσεις. Ελπίζουμε</w:t>
      </w:r>
      <w:r>
        <w:rPr>
          <w:rFonts w:eastAsia="Times New Roman"/>
          <w:lang w:val="el-GR"/>
        </w:rPr>
        <w:t>,</w:t>
      </w:r>
      <w:r w:rsidRPr="009F495F">
        <w:rPr>
          <w:rFonts w:eastAsia="Times New Roman"/>
          <w:lang w:val="el-GR"/>
        </w:rPr>
        <w:t xml:space="preserve"> το αποθαρρυντικό ξεκίνημα του 2018 να μην είναι ενδεικτικό της πορείας του έτους και στο τέλος να κλείσει η αγορά με θετική αποτίμηση. </w:t>
      </w:r>
      <w:r w:rsidRPr="009F495F">
        <w:rPr>
          <w:rFonts w:eastAsia="Times New Roman"/>
          <w:iCs/>
          <w:lang w:val="el-GR"/>
        </w:rPr>
        <w:t>Οφείλουμε, τέλος, να αναγνωρίσουμε ότι η φετινή περίοδος των εκπτώσεων πέρασε σχεδόν απαρατήρητη για το κλάδο του λιανικού εμπορίου και μάλλον αδιάφορα για τους καταναλωτές.»</w:t>
      </w:r>
    </w:p>
    <w:p w:rsidR="009F495F" w:rsidRPr="009F495F" w:rsidRDefault="009F495F" w:rsidP="009F495F">
      <w:pPr>
        <w:spacing w:after="240"/>
        <w:rPr>
          <w:rFonts w:eastAsia="Times New Roman"/>
          <w:lang w:val="el-GR"/>
        </w:rPr>
      </w:pPr>
    </w:p>
    <w:p w:rsidR="006D4B3C" w:rsidRDefault="006D4B3C" w:rsidP="006D4B3C">
      <w:pPr>
        <w:jc w:val="both"/>
        <w:rPr>
          <w:lang w:val="el-GR"/>
        </w:rPr>
      </w:pPr>
    </w:p>
    <w:p w:rsidR="006D4B3C" w:rsidRDefault="006D4B3C" w:rsidP="006D4B3C">
      <w:pPr>
        <w:jc w:val="both"/>
        <w:rPr>
          <w:lang w:val="el-GR"/>
        </w:rPr>
      </w:pPr>
    </w:p>
    <w:p w:rsidR="006E7BFE" w:rsidRDefault="00173175" w:rsidP="00173175">
      <w:pPr>
        <w:rPr>
          <w:lang w:val="el-GR"/>
        </w:rPr>
      </w:pPr>
      <w:r>
        <w:rPr>
          <w:lang w:val="el-GR"/>
        </w:rPr>
        <w:br w:type="page"/>
      </w:r>
    </w:p>
    <w:p w:rsidR="006E7BFE" w:rsidRPr="009A2188" w:rsidRDefault="006E7BFE" w:rsidP="006E7BFE">
      <w:pPr>
        <w:pStyle w:val="Default"/>
        <w:spacing w:after="200"/>
        <w:jc w:val="center"/>
        <w:rPr>
          <w:sz w:val="28"/>
          <w:szCs w:val="28"/>
        </w:rPr>
      </w:pPr>
      <w:r w:rsidRPr="009A2188">
        <w:rPr>
          <w:b/>
          <w:bCs/>
          <w:sz w:val="28"/>
          <w:szCs w:val="28"/>
        </w:rPr>
        <w:t>Οι Εμπορικοί Σύλλογοι για την κίνηση της αγοράς στις χειμερινές εκπτώσεις του</w:t>
      </w:r>
      <w:r w:rsidR="00CC40A7" w:rsidRPr="009A2188">
        <w:rPr>
          <w:b/>
          <w:bCs/>
          <w:sz w:val="28"/>
          <w:szCs w:val="28"/>
        </w:rPr>
        <w:t xml:space="preserve"> 2018</w:t>
      </w:r>
    </w:p>
    <w:p w:rsidR="008C3409" w:rsidRDefault="008C3409" w:rsidP="007360C5">
      <w:pPr>
        <w:jc w:val="both"/>
        <w:rPr>
          <w:rFonts w:eastAsia="Times New Roman" w:cs="Times New Roman"/>
          <w:bCs/>
          <w:color w:val="000000"/>
          <w:lang w:val="el-GR" w:eastAsia="el-GR"/>
        </w:rPr>
      </w:pPr>
    </w:p>
    <w:p w:rsidR="006E7BFE" w:rsidRPr="008C3409" w:rsidRDefault="008C3409" w:rsidP="007360C5">
      <w:pPr>
        <w:jc w:val="both"/>
        <w:rPr>
          <w:lang w:val="el-GR"/>
        </w:rPr>
      </w:pPr>
      <w:r w:rsidRPr="008C3409">
        <w:rPr>
          <w:rFonts w:eastAsia="Times New Roman" w:cs="Times New Roman"/>
          <w:bCs/>
          <w:color w:val="000000"/>
          <w:lang w:val="el-GR" w:eastAsia="el-GR"/>
        </w:rPr>
        <w:t xml:space="preserve">Στον παρακάτω πίνακα παρουσιάζονται οι </w:t>
      </w:r>
      <w:r w:rsidR="00E20A25">
        <w:rPr>
          <w:rFonts w:eastAsia="Times New Roman" w:cs="Times New Roman"/>
          <w:bCs/>
          <w:color w:val="000000"/>
          <w:lang w:val="el-GR" w:eastAsia="el-GR"/>
        </w:rPr>
        <w:t>ε</w:t>
      </w:r>
      <w:r w:rsidRPr="008C3409">
        <w:rPr>
          <w:rFonts w:eastAsia="Times New Roman" w:cs="Times New Roman"/>
          <w:bCs/>
          <w:color w:val="000000"/>
          <w:lang w:val="el-GR" w:eastAsia="el-GR"/>
        </w:rPr>
        <w:t xml:space="preserve">κτιμήσεις </w:t>
      </w:r>
      <w:r w:rsidR="00E20A25">
        <w:rPr>
          <w:rFonts w:eastAsia="Times New Roman" w:cs="Times New Roman"/>
          <w:bCs/>
          <w:color w:val="000000"/>
          <w:lang w:val="el-GR" w:eastAsia="el-GR"/>
        </w:rPr>
        <w:t>των</w:t>
      </w:r>
      <w:r w:rsidRPr="008C3409">
        <w:rPr>
          <w:rFonts w:eastAsia="Times New Roman" w:cs="Times New Roman"/>
          <w:bCs/>
          <w:color w:val="000000"/>
          <w:lang w:val="el-GR" w:eastAsia="el-GR"/>
        </w:rPr>
        <w:t xml:space="preserve"> Εμπορικών Συλλόγων </w:t>
      </w:r>
      <w:r w:rsidR="00E20A25">
        <w:rPr>
          <w:rFonts w:eastAsia="Times New Roman" w:cs="Times New Roman"/>
          <w:bCs/>
          <w:color w:val="000000"/>
          <w:lang w:val="el-GR" w:eastAsia="el-GR"/>
        </w:rPr>
        <w:t xml:space="preserve">σε 65 περιοχές της χώρας, </w:t>
      </w:r>
      <w:r w:rsidRPr="008C3409">
        <w:rPr>
          <w:rFonts w:eastAsia="Times New Roman" w:cs="Times New Roman"/>
          <w:bCs/>
          <w:color w:val="000000"/>
          <w:lang w:val="el-GR" w:eastAsia="el-GR"/>
        </w:rPr>
        <w:t xml:space="preserve">για </w:t>
      </w:r>
      <w:r w:rsidR="003F5613">
        <w:rPr>
          <w:rFonts w:eastAsia="Times New Roman" w:cs="Times New Roman"/>
          <w:bCs/>
          <w:color w:val="000000"/>
          <w:lang w:val="el-GR" w:eastAsia="el-GR"/>
        </w:rPr>
        <w:t>κίνηση των πωλήσεων</w:t>
      </w:r>
      <w:r w:rsidRPr="008C3409">
        <w:rPr>
          <w:rFonts w:eastAsia="Times New Roman" w:cs="Times New Roman"/>
          <w:bCs/>
          <w:color w:val="000000"/>
          <w:lang w:val="el-GR" w:eastAsia="el-GR"/>
        </w:rPr>
        <w:t xml:space="preserve"> κατά τη διάρκεια των χειμερινών  Εκπτώσεων 2018</w:t>
      </w:r>
      <w:r w:rsidR="003F5613">
        <w:rPr>
          <w:rFonts w:eastAsia="Times New Roman" w:cs="Times New Roman"/>
          <w:bCs/>
          <w:color w:val="000000"/>
          <w:lang w:val="el-GR" w:eastAsia="el-GR"/>
        </w:rPr>
        <w:t xml:space="preserve"> σε σύγκριση με την αντίστοιχη περίοδο του 2017. </w:t>
      </w:r>
    </w:p>
    <w:p w:rsidR="00002343" w:rsidRDefault="00002343" w:rsidP="00002343">
      <w:pPr>
        <w:tabs>
          <w:tab w:val="left" w:pos="630"/>
        </w:tabs>
        <w:rPr>
          <w:lang w:val="el-GR"/>
        </w:rPr>
      </w:pPr>
      <w:r>
        <w:rPr>
          <w:lang w:val="el-GR"/>
        </w:rPr>
        <w:tab/>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713"/>
        <w:gridCol w:w="4713"/>
      </w:tblGrid>
      <w:tr w:rsidR="00002343" w:rsidRPr="0079329E" w:rsidTr="00002343">
        <w:trPr>
          <w:trHeight w:val="20"/>
        </w:trPr>
        <w:tc>
          <w:tcPr>
            <w:tcW w:w="9094" w:type="dxa"/>
            <w:gridSpan w:val="3"/>
            <w:shd w:val="clear" w:color="000000" w:fill="DCE6F1"/>
            <w:vAlign w:val="center"/>
            <w:hideMark/>
          </w:tcPr>
          <w:p w:rsidR="00002343" w:rsidRPr="00002343" w:rsidRDefault="00002343" w:rsidP="00002343">
            <w:pPr>
              <w:spacing w:after="0" w:line="240" w:lineRule="auto"/>
              <w:jc w:val="center"/>
              <w:rPr>
                <w:rFonts w:ascii="Calibri" w:eastAsia="Times New Roman" w:hAnsi="Calibri" w:cs="Times New Roman"/>
                <w:b/>
                <w:bCs/>
                <w:color w:val="000000"/>
                <w:sz w:val="24"/>
                <w:szCs w:val="24"/>
                <w:lang w:val="el-GR" w:eastAsia="el-GR"/>
              </w:rPr>
            </w:pPr>
            <w:r w:rsidRPr="00002343">
              <w:rPr>
                <w:rFonts w:ascii="Calibri" w:eastAsia="Times New Roman" w:hAnsi="Calibri" w:cs="Times New Roman"/>
                <w:b/>
                <w:bCs/>
                <w:color w:val="000000"/>
                <w:sz w:val="24"/>
                <w:szCs w:val="24"/>
                <w:lang w:val="el-GR" w:eastAsia="el-GR"/>
              </w:rPr>
              <w:t>Εκτίμηση της  κίνησης των πωλήσεων κατά την περίοδο των χειμερινών εκπτώσεων στα καταστήματα 65 περιοχών  της χώρας</w:t>
            </w:r>
            <w:r w:rsidRPr="00002343">
              <w:rPr>
                <w:rFonts w:ascii="Calibri" w:eastAsia="Times New Roman" w:hAnsi="Calibri" w:cs="Times New Roman"/>
                <w:b/>
                <w:bCs/>
                <w:color w:val="000000"/>
                <w:sz w:val="24"/>
                <w:szCs w:val="24"/>
                <w:lang w:val="el-GR" w:eastAsia="el-GR"/>
              </w:rPr>
              <w:br/>
              <w:t>Φεβρουάριος (2018)</w:t>
            </w:r>
          </w:p>
        </w:tc>
      </w:tr>
      <w:tr w:rsidR="00002343" w:rsidRPr="00002343" w:rsidTr="00002343">
        <w:trPr>
          <w:trHeight w:val="20"/>
        </w:trPr>
        <w:tc>
          <w:tcPr>
            <w:tcW w:w="668" w:type="dxa"/>
            <w:shd w:val="clear" w:color="000000" w:fill="DCE6F1"/>
            <w:noWrap/>
            <w:vAlign w:val="bottom"/>
            <w:hideMark/>
          </w:tcPr>
          <w:p w:rsidR="00002343" w:rsidRPr="00002343" w:rsidRDefault="00002343" w:rsidP="00002343">
            <w:pPr>
              <w:spacing w:after="0" w:line="240" w:lineRule="auto"/>
              <w:rPr>
                <w:rFonts w:ascii="Calibri" w:eastAsia="Times New Roman" w:hAnsi="Calibri" w:cs="Times New Roman"/>
                <w:b/>
                <w:bCs/>
                <w:color w:val="000000"/>
                <w:lang w:val="el-GR" w:eastAsia="el-GR"/>
              </w:rPr>
            </w:pPr>
            <w:r w:rsidRPr="00002343">
              <w:rPr>
                <w:rFonts w:ascii="Calibri" w:eastAsia="Times New Roman" w:hAnsi="Calibri" w:cs="Times New Roman"/>
                <w:b/>
                <w:bCs/>
                <w:color w:val="000000"/>
                <w:lang w:val="el-GR" w:eastAsia="el-GR"/>
              </w:rPr>
              <w:t>Α/Α</w:t>
            </w:r>
          </w:p>
        </w:tc>
        <w:tc>
          <w:tcPr>
            <w:tcW w:w="3713" w:type="dxa"/>
            <w:shd w:val="clear" w:color="000000" w:fill="DCE6F1"/>
            <w:vAlign w:val="bottom"/>
            <w:hideMark/>
          </w:tcPr>
          <w:p w:rsidR="00002343" w:rsidRPr="00002343" w:rsidRDefault="00002343" w:rsidP="00002343">
            <w:pPr>
              <w:spacing w:after="0" w:line="240" w:lineRule="auto"/>
              <w:rPr>
                <w:rFonts w:ascii="Calibri" w:eastAsia="Times New Roman" w:hAnsi="Calibri" w:cs="Times New Roman"/>
                <w:b/>
                <w:bCs/>
                <w:color w:val="000000"/>
                <w:sz w:val="24"/>
                <w:szCs w:val="24"/>
                <w:lang w:val="el-GR" w:eastAsia="el-GR"/>
              </w:rPr>
            </w:pPr>
            <w:r w:rsidRPr="00002343">
              <w:rPr>
                <w:rFonts w:ascii="Calibri" w:eastAsia="Times New Roman" w:hAnsi="Calibri" w:cs="Times New Roman"/>
                <w:b/>
                <w:bCs/>
                <w:color w:val="000000"/>
                <w:sz w:val="24"/>
                <w:szCs w:val="24"/>
                <w:lang w:val="el-GR" w:eastAsia="el-GR"/>
              </w:rPr>
              <w:t xml:space="preserve">                Περιοχές</w:t>
            </w:r>
          </w:p>
        </w:tc>
        <w:tc>
          <w:tcPr>
            <w:tcW w:w="4712" w:type="dxa"/>
            <w:shd w:val="clear" w:color="000000" w:fill="DCE6F1"/>
            <w:vAlign w:val="bottom"/>
            <w:hideMark/>
          </w:tcPr>
          <w:p w:rsidR="00002343" w:rsidRPr="00002343" w:rsidRDefault="00002343" w:rsidP="00002343">
            <w:pPr>
              <w:spacing w:after="0" w:line="240" w:lineRule="auto"/>
              <w:jc w:val="center"/>
              <w:rPr>
                <w:rFonts w:ascii="Calibri" w:eastAsia="Times New Roman" w:hAnsi="Calibri" w:cs="Times New Roman"/>
                <w:b/>
                <w:bCs/>
                <w:color w:val="000000"/>
                <w:sz w:val="24"/>
                <w:szCs w:val="24"/>
                <w:lang w:val="el-GR" w:eastAsia="el-GR"/>
              </w:rPr>
            </w:pPr>
            <w:r w:rsidRPr="00002343">
              <w:rPr>
                <w:rFonts w:ascii="Calibri" w:eastAsia="Times New Roman" w:hAnsi="Calibri" w:cs="Times New Roman"/>
                <w:b/>
                <w:bCs/>
                <w:color w:val="000000"/>
                <w:sz w:val="20"/>
                <w:szCs w:val="20"/>
                <w:lang w:val="el-GR" w:eastAsia="el-GR"/>
              </w:rPr>
              <w:t>ΕΚΤΙΜΩΜΕΝΟ  ΠΟΣΟΣΤΟ</w:t>
            </w:r>
            <w:r w:rsidRPr="00002343">
              <w:rPr>
                <w:rFonts w:ascii="Calibri" w:eastAsia="Times New Roman" w:hAnsi="Calibri" w:cs="Times New Roman"/>
                <w:b/>
                <w:bCs/>
                <w:color w:val="000000"/>
                <w:sz w:val="24"/>
                <w:szCs w:val="24"/>
                <w:lang w:val="el-GR" w:eastAsia="el-GR"/>
              </w:rPr>
              <w:t xml:space="preserve"> (%) μείωσης/αύξησης</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w:t>
            </w:r>
          </w:p>
        </w:tc>
        <w:tc>
          <w:tcPr>
            <w:tcW w:w="3713" w:type="dxa"/>
            <w:shd w:val="clear" w:color="000000" w:fill="FFFFFF"/>
            <w:noWrap/>
            <w:vAlign w:val="bottom"/>
            <w:hideMark/>
          </w:tcPr>
          <w:p w:rsidR="00002343" w:rsidRPr="00002343" w:rsidRDefault="00002343" w:rsidP="00002343">
            <w:pPr>
              <w:spacing w:after="0" w:line="240" w:lineRule="auto"/>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Αθήνα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Θεσσαλονίκη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Πειραιάς</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Πάτρα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Γλυφάδα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6</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Καλλιθέα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7</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Κερατσίνι</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8</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Μαρούσι</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9</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Μοσχάτο</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10</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Ν. Ιωνία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sz w:val="24"/>
                <w:szCs w:val="24"/>
                <w:lang w:val="el-GR" w:eastAsia="el-GR"/>
              </w:rPr>
            </w:pPr>
            <w:r w:rsidRPr="00002343">
              <w:rPr>
                <w:rFonts w:ascii="Calibri" w:eastAsia="Times New Roman" w:hAnsi="Calibri" w:cs="Times New Roman"/>
                <w:sz w:val="24"/>
                <w:szCs w:val="24"/>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11</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Νίκαια</w:t>
            </w:r>
          </w:p>
        </w:tc>
        <w:tc>
          <w:tcPr>
            <w:tcW w:w="4712" w:type="dxa"/>
            <w:shd w:val="clear" w:color="000000" w:fill="FFFFFF"/>
            <w:vAlign w:val="bottom"/>
            <w:hideMark/>
          </w:tcPr>
          <w:p w:rsidR="00002343" w:rsidRPr="00002343" w:rsidRDefault="0097402E" w:rsidP="00002343">
            <w:pPr>
              <w:spacing w:after="0" w:line="240" w:lineRule="auto"/>
              <w:jc w:val="center"/>
              <w:rPr>
                <w:rFonts w:ascii="Calibri" w:eastAsia="Times New Roman" w:hAnsi="Calibri" w:cs="Times New Roman"/>
                <w:lang w:val="el-GR" w:eastAsia="el-GR"/>
              </w:rPr>
            </w:pPr>
            <w:r>
              <w:rPr>
                <w:rFonts w:ascii="Calibri" w:eastAsia="Times New Roman" w:hAnsi="Calibri" w:cs="Times New Roman"/>
                <w:lang w:val="el-GR" w:eastAsia="el-GR"/>
              </w:rPr>
              <w:t xml:space="preserve">Οριακή </w:t>
            </w:r>
            <w:r w:rsidR="00002343" w:rsidRPr="00002343">
              <w:rPr>
                <w:rFonts w:ascii="Calibri" w:eastAsia="Times New Roman" w:hAnsi="Calibri" w:cs="Times New Roman"/>
                <w:lang w:val="el-GR" w:eastAsia="el-GR"/>
              </w:rPr>
              <w:t>Αύξηση 5%</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12</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Π. Φάληρο</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13</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Κηφισιά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14</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Περιστέρι</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15</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Χαλάνδρι</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sz w:val="24"/>
                <w:szCs w:val="24"/>
                <w:lang w:val="el-GR" w:eastAsia="el-GR"/>
              </w:rPr>
            </w:pPr>
            <w:r w:rsidRPr="00002343">
              <w:rPr>
                <w:rFonts w:ascii="Calibri" w:eastAsia="Times New Roman" w:hAnsi="Calibri" w:cs="Times New Roman"/>
                <w:sz w:val="24"/>
                <w:szCs w:val="24"/>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16</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Ίλιον</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17</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Αλεξάνδρεια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18</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Άρτα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21%-30%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19</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Βέροια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20</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Βόλος</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 xml:space="preserve"> Μείωση 21%-30%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21</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Γιαννιτσά</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sz w:val="24"/>
                <w:szCs w:val="24"/>
                <w:lang w:val="el-GR" w:eastAsia="el-GR"/>
              </w:rPr>
            </w:pPr>
            <w:r w:rsidRPr="00002343">
              <w:rPr>
                <w:rFonts w:ascii="Calibri" w:eastAsia="Times New Roman" w:hAnsi="Calibri" w:cs="Times New Roman"/>
                <w:sz w:val="24"/>
                <w:szCs w:val="24"/>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22</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Γρεβενά</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23</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Δράμας</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Μεγαλύτερη από  41%</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24</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Έδεσσα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25</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Ελασσόνα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26</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Ζάκυνθος</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27</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Θήβα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28</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Ιωάννινα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21%-30%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29</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Καβάλα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30</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Ηρακλείου</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31</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Ιεράπετρα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32</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Ρέθυμνο</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33</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Χανιά</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31%-40%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34</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Αγ. Νικόλαος  (Λασιθίου)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21%-30%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35</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Καλαμάτα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sz w:val="24"/>
                <w:szCs w:val="24"/>
                <w:lang w:val="el-GR" w:eastAsia="el-GR"/>
              </w:rPr>
            </w:pPr>
            <w:r w:rsidRPr="00002343">
              <w:rPr>
                <w:rFonts w:ascii="Calibri" w:eastAsia="Times New Roman" w:hAnsi="Calibri" w:cs="Times New Roman"/>
                <w:sz w:val="24"/>
                <w:szCs w:val="24"/>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36</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Καρδίτσα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37</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Κατερίνη</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38</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Κέρκυρα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39</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Κεφαλονιά &amp; Ιθάκη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40</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Κιάτο</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41</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Κιλκίς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sz w:val="24"/>
                <w:szCs w:val="24"/>
                <w:lang w:val="el-GR" w:eastAsia="el-GR"/>
              </w:rPr>
            </w:pPr>
            <w:r w:rsidRPr="00002343">
              <w:rPr>
                <w:rFonts w:ascii="Calibri" w:eastAsia="Times New Roman" w:hAnsi="Calibri" w:cs="Times New Roman"/>
                <w:sz w:val="24"/>
                <w:szCs w:val="24"/>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42</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Κοζάνη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43</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Κομοτηνής</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44</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Κυπαρισσία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45</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Λαμία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46</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Λάρισα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sz w:val="24"/>
                <w:szCs w:val="24"/>
                <w:lang w:val="el-GR" w:eastAsia="el-GR"/>
              </w:rPr>
            </w:pPr>
            <w:r w:rsidRPr="00002343">
              <w:rPr>
                <w:rFonts w:ascii="Calibri" w:eastAsia="Times New Roman" w:hAnsi="Calibri" w:cs="Times New Roman"/>
                <w:sz w:val="24"/>
                <w:szCs w:val="24"/>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47</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Λευκάδας</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48</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Λήμνος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49</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Λιβαδειά</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50</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Νάξος</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51</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Νάουσα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52</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Ναύπλιο</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53</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Πολύγυρος- Χαλκιδική</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54</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Πρέβεζα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55</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Πύργος</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56</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Ρόδου</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57</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Σαντορίνη</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58</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Σέρρες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sz w:val="24"/>
                <w:szCs w:val="24"/>
                <w:lang w:val="el-GR" w:eastAsia="el-GR"/>
              </w:rPr>
            </w:pPr>
            <w:r w:rsidRPr="00002343">
              <w:rPr>
                <w:rFonts w:ascii="Calibri" w:eastAsia="Times New Roman" w:hAnsi="Calibri" w:cs="Times New Roman"/>
                <w:sz w:val="24"/>
                <w:szCs w:val="24"/>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59</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Σκύδρα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60</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Σπάρτη</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sz w:val="24"/>
                <w:szCs w:val="24"/>
                <w:lang w:val="el-GR" w:eastAsia="el-GR"/>
              </w:rPr>
            </w:pPr>
            <w:r w:rsidRPr="00002343">
              <w:rPr>
                <w:rFonts w:ascii="Calibri" w:eastAsia="Times New Roman" w:hAnsi="Calibri" w:cs="Times New Roman"/>
                <w:sz w:val="24"/>
                <w:szCs w:val="24"/>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61</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Σύρος</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62</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Τρίκαλα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63</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Φάρσαλα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21%-30%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64</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Φλώρινα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21%-30%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65</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Χαλκίδα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4381" w:type="dxa"/>
            <w:gridSpan w:val="2"/>
            <w:shd w:val="clear" w:color="000000" w:fill="D9D9D9"/>
            <w:vAlign w:val="bottom"/>
            <w:hideMark/>
          </w:tcPr>
          <w:p w:rsidR="00002343" w:rsidRPr="00002343" w:rsidRDefault="00002343" w:rsidP="00002343">
            <w:pPr>
              <w:spacing w:after="0" w:line="240" w:lineRule="auto"/>
              <w:jc w:val="center"/>
              <w:rPr>
                <w:rFonts w:ascii="Calibri" w:eastAsia="Times New Roman" w:hAnsi="Calibri" w:cs="Times New Roman"/>
                <w:b/>
                <w:bCs/>
                <w:color w:val="000000"/>
                <w:sz w:val="24"/>
                <w:szCs w:val="24"/>
                <w:lang w:val="el-GR" w:eastAsia="el-GR"/>
              </w:rPr>
            </w:pPr>
            <w:r w:rsidRPr="00002343">
              <w:rPr>
                <w:rFonts w:ascii="Calibri" w:eastAsia="Times New Roman" w:hAnsi="Calibri" w:cs="Times New Roman"/>
                <w:b/>
                <w:bCs/>
                <w:color w:val="000000"/>
                <w:sz w:val="24"/>
                <w:szCs w:val="24"/>
                <w:lang w:val="el-GR" w:eastAsia="el-GR"/>
              </w:rPr>
              <w:t>ΠΩΛΗΣΕΙΣ ΧΕΙΜΕΡΙΝΩΝ ΕΚΠΤΩΣΕΩΝ  2018/2017</w:t>
            </w:r>
          </w:p>
        </w:tc>
        <w:tc>
          <w:tcPr>
            <w:tcW w:w="4712" w:type="dxa"/>
            <w:shd w:val="clear" w:color="000000" w:fill="D9D9D9"/>
            <w:noWrap/>
            <w:vAlign w:val="bottom"/>
            <w:hideMark/>
          </w:tcPr>
          <w:p w:rsidR="00002343" w:rsidRPr="00002343" w:rsidRDefault="00002343" w:rsidP="00002343">
            <w:pPr>
              <w:spacing w:after="0" w:line="240" w:lineRule="auto"/>
              <w:jc w:val="center"/>
              <w:rPr>
                <w:rFonts w:ascii="Calibri" w:eastAsia="Times New Roman" w:hAnsi="Calibri" w:cs="Times New Roman"/>
                <w:b/>
                <w:bCs/>
                <w:color w:val="000000"/>
                <w:sz w:val="24"/>
                <w:szCs w:val="24"/>
                <w:lang w:val="el-GR" w:eastAsia="el-GR"/>
              </w:rPr>
            </w:pPr>
            <w:r w:rsidRPr="00002343">
              <w:rPr>
                <w:rFonts w:ascii="Calibri" w:eastAsia="Times New Roman" w:hAnsi="Calibri" w:cs="Times New Roman"/>
                <w:b/>
                <w:bCs/>
                <w:color w:val="000000"/>
                <w:sz w:val="24"/>
                <w:szCs w:val="24"/>
                <w:lang w:val="el-GR" w:eastAsia="el-GR"/>
              </w:rPr>
              <w:t>-8,8%</w:t>
            </w:r>
          </w:p>
        </w:tc>
      </w:tr>
    </w:tbl>
    <w:p w:rsidR="007360C5" w:rsidRDefault="007360C5" w:rsidP="00002343">
      <w:pPr>
        <w:tabs>
          <w:tab w:val="left" w:pos="630"/>
        </w:tabs>
        <w:rPr>
          <w:lang w:val="el-GR"/>
        </w:rPr>
      </w:pPr>
    </w:p>
    <w:p w:rsidR="007360C5" w:rsidRDefault="006D4B3C" w:rsidP="007360C5">
      <w:pPr>
        <w:jc w:val="both"/>
        <w:rPr>
          <w:lang w:val="el-GR"/>
        </w:rPr>
      </w:pPr>
      <w:r>
        <w:rPr>
          <w:lang w:val="el-GR"/>
        </w:rPr>
        <w:br/>
      </w:r>
    </w:p>
    <w:p w:rsidR="006D4B3C" w:rsidRDefault="006D4B3C" w:rsidP="007360C5">
      <w:pPr>
        <w:jc w:val="both"/>
        <w:rPr>
          <w:lang w:val="el-GR"/>
        </w:rPr>
      </w:pPr>
    </w:p>
    <w:p w:rsidR="006D4B3C" w:rsidRDefault="006D4B3C" w:rsidP="007360C5">
      <w:pPr>
        <w:jc w:val="both"/>
        <w:rPr>
          <w:lang w:val="el-GR"/>
        </w:rPr>
      </w:pPr>
    </w:p>
    <w:p w:rsidR="006D4B3C" w:rsidRDefault="006D4B3C" w:rsidP="007360C5">
      <w:pPr>
        <w:jc w:val="both"/>
        <w:rPr>
          <w:lang w:val="el-GR"/>
        </w:rPr>
      </w:pPr>
    </w:p>
    <w:p w:rsidR="006D4B3C" w:rsidRDefault="006D4B3C" w:rsidP="007360C5">
      <w:pPr>
        <w:jc w:val="both"/>
        <w:rPr>
          <w:lang w:val="el-GR"/>
        </w:rPr>
      </w:pPr>
    </w:p>
    <w:p w:rsidR="006D4B3C" w:rsidRDefault="006D4B3C" w:rsidP="007360C5">
      <w:pPr>
        <w:jc w:val="both"/>
        <w:rPr>
          <w:lang w:val="el-GR"/>
        </w:rPr>
      </w:pPr>
    </w:p>
    <w:p w:rsidR="006D4B3C" w:rsidRDefault="006D4B3C" w:rsidP="007360C5">
      <w:pPr>
        <w:jc w:val="both"/>
        <w:rPr>
          <w:lang w:val="el-GR"/>
        </w:rPr>
      </w:pPr>
    </w:p>
    <w:p w:rsidR="006D4B3C" w:rsidRDefault="006D4B3C" w:rsidP="007360C5">
      <w:pPr>
        <w:jc w:val="both"/>
        <w:rPr>
          <w:lang w:val="el-GR"/>
        </w:rPr>
      </w:pPr>
    </w:p>
    <w:p w:rsidR="006D4B3C" w:rsidRDefault="006D4B3C" w:rsidP="007360C5">
      <w:pPr>
        <w:jc w:val="both"/>
        <w:rPr>
          <w:lang w:val="el-GR"/>
        </w:rPr>
      </w:pPr>
    </w:p>
    <w:p w:rsidR="006D4B3C" w:rsidRDefault="006D4B3C" w:rsidP="007360C5">
      <w:pPr>
        <w:jc w:val="both"/>
        <w:rPr>
          <w:lang w:val="el-GR"/>
        </w:rPr>
      </w:pPr>
    </w:p>
    <w:p w:rsidR="006D4B3C" w:rsidRDefault="006D4B3C" w:rsidP="007360C5">
      <w:pPr>
        <w:jc w:val="both"/>
        <w:rPr>
          <w:lang w:val="el-GR"/>
        </w:rPr>
      </w:pPr>
    </w:p>
    <w:sectPr w:rsidR="006D4B3C" w:rsidSect="00275741">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BE7" w:rsidRDefault="00522BE7" w:rsidP="002C6779">
      <w:pPr>
        <w:spacing w:after="0" w:line="240" w:lineRule="auto"/>
      </w:pPr>
      <w:r>
        <w:separator/>
      </w:r>
    </w:p>
  </w:endnote>
  <w:endnote w:type="continuationSeparator" w:id="0">
    <w:p w:rsidR="00522BE7" w:rsidRDefault="00522BE7" w:rsidP="002C6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737907"/>
      <w:docPartObj>
        <w:docPartGallery w:val="Page Numbers (Bottom of Page)"/>
        <w:docPartUnique/>
      </w:docPartObj>
    </w:sdtPr>
    <w:sdtContent>
      <w:p w:rsidR="00CD4A69" w:rsidRDefault="00C73C40">
        <w:pPr>
          <w:pStyle w:val="a6"/>
          <w:jc w:val="right"/>
        </w:pPr>
        <w:r>
          <w:fldChar w:fldCharType="begin"/>
        </w:r>
        <w:r w:rsidR="00D756D0">
          <w:instrText xml:space="preserve"> PAGE   \* MERGEFORMAT </w:instrText>
        </w:r>
        <w:r>
          <w:fldChar w:fldCharType="separate"/>
        </w:r>
        <w:r w:rsidR="0079329E">
          <w:rPr>
            <w:noProof/>
          </w:rPr>
          <w:t>2</w:t>
        </w:r>
        <w:r>
          <w:rPr>
            <w:noProof/>
          </w:rPr>
          <w:fldChar w:fldCharType="end"/>
        </w:r>
      </w:p>
    </w:sdtContent>
  </w:sdt>
  <w:p w:rsidR="00CD4A69" w:rsidRDefault="00CD4A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BE7" w:rsidRDefault="00522BE7" w:rsidP="002C6779">
      <w:pPr>
        <w:spacing w:after="0" w:line="240" w:lineRule="auto"/>
      </w:pPr>
      <w:r>
        <w:separator/>
      </w:r>
    </w:p>
  </w:footnote>
  <w:footnote w:type="continuationSeparator" w:id="0">
    <w:p w:rsidR="00522BE7" w:rsidRDefault="00522BE7" w:rsidP="002C67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03FB8"/>
    <w:multiLevelType w:val="hybridMultilevel"/>
    <w:tmpl w:val="6E5AD9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ECF6B86"/>
    <w:multiLevelType w:val="hybridMultilevel"/>
    <w:tmpl w:val="610EBD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C0E6D20"/>
    <w:multiLevelType w:val="hybridMultilevel"/>
    <w:tmpl w:val="7E309E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3E87"/>
    <w:rsid w:val="00002343"/>
    <w:rsid w:val="00017091"/>
    <w:rsid w:val="000379AF"/>
    <w:rsid w:val="0004345E"/>
    <w:rsid w:val="00045AD7"/>
    <w:rsid w:val="00045C14"/>
    <w:rsid w:val="00047F6A"/>
    <w:rsid w:val="0005264D"/>
    <w:rsid w:val="0006166A"/>
    <w:rsid w:val="00062518"/>
    <w:rsid w:val="000C082E"/>
    <w:rsid w:val="000F2EA8"/>
    <w:rsid w:val="00131046"/>
    <w:rsid w:val="00142E2E"/>
    <w:rsid w:val="00161AE2"/>
    <w:rsid w:val="00161D75"/>
    <w:rsid w:val="00173175"/>
    <w:rsid w:val="00182935"/>
    <w:rsid w:val="001A50A1"/>
    <w:rsid w:val="001B273F"/>
    <w:rsid w:val="001B41A4"/>
    <w:rsid w:val="001C2098"/>
    <w:rsid w:val="001C6966"/>
    <w:rsid w:val="00275741"/>
    <w:rsid w:val="002B2B43"/>
    <w:rsid w:val="002C6779"/>
    <w:rsid w:val="002D70B8"/>
    <w:rsid w:val="002D7EDB"/>
    <w:rsid w:val="002E37E4"/>
    <w:rsid w:val="002F6AC2"/>
    <w:rsid w:val="003811FC"/>
    <w:rsid w:val="003C09A8"/>
    <w:rsid w:val="003E5901"/>
    <w:rsid w:val="003F5613"/>
    <w:rsid w:val="0040032E"/>
    <w:rsid w:val="00406F75"/>
    <w:rsid w:val="004334F6"/>
    <w:rsid w:val="00442727"/>
    <w:rsid w:val="00447DB0"/>
    <w:rsid w:val="0047079E"/>
    <w:rsid w:val="004714B5"/>
    <w:rsid w:val="00491FCE"/>
    <w:rsid w:val="004A1709"/>
    <w:rsid w:val="004B7C44"/>
    <w:rsid w:val="004E1AFC"/>
    <w:rsid w:val="004E520D"/>
    <w:rsid w:val="00500F06"/>
    <w:rsid w:val="005113E6"/>
    <w:rsid w:val="00522BE7"/>
    <w:rsid w:val="0052545A"/>
    <w:rsid w:val="00533E87"/>
    <w:rsid w:val="00574F9E"/>
    <w:rsid w:val="005818ED"/>
    <w:rsid w:val="00591C72"/>
    <w:rsid w:val="005B4977"/>
    <w:rsid w:val="005B61FC"/>
    <w:rsid w:val="005F51E9"/>
    <w:rsid w:val="00612088"/>
    <w:rsid w:val="00616293"/>
    <w:rsid w:val="0062484F"/>
    <w:rsid w:val="00636491"/>
    <w:rsid w:val="006733CD"/>
    <w:rsid w:val="00684AF1"/>
    <w:rsid w:val="006A0BB0"/>
    <w:rsid w:val="006D4B3C"/>
    <w:rsid w:val="006E7BFE"/>
    <w:rsid w:val="006F2C4B"/>
    <w:rsid w:val="006F5C99"/>
    <w:rsid w:val="00705DD6"/>
    <w:rsid w:val="00734806"/>
    <w:rsid w:val="007360C5"/>
    <w:rsid w:val="00766773"/>
    <w:rsid w:val="007774D0"/>
    <w:rsid w:val="0078611D"/>
    <w:rsid w:val="0079329E"/>
    <w:rsid w:val="0079339D"/>
    <w:rsid w:val="007A02B6"/>
    <w:rsid w:val="007B3849"/>
    <w:rsid w:val="007B7063"/>
    <w:rsid w:val="0082235B"/>
    <w:rsid w:val="0088033E"/>
    <w:rsid w:val="0089636A"/>
    <w:rsid w:val="008C3409"/>
    <w:rsid w:val="008E6B2A"/>
    <w:rsid w:val="008E73C3"/>
    <w:rsid w:val="008F06B2"/>
    <w:rsid w:val="008F2DA5"/>
    <w:rsid w:val="00925EF5"/>
    <w:rsid w:val="009654E3"/>
    <w:rsid w:val="0097402E"/>
    <w:rsid w:val="009A2188"/>
    <w:rsid w:val="009B0EC0"/>
    <w:rsid w:val="009C4C26"/>
    <w:rsid w:val="009F495F"/>
    <w:rsid w:val="00A125A5"/>
    <w:rsid w:val="00A505A2"/>
    <w:rsid w:val="00A92091"/>
    <w:rsid w:val="00AA7117"/>
    <w:rsid w:val="00B118EF"/>
    <w:rsid w:val="00B22F8B"/>
    <w:rsid w:val="00B30CCD"/>
    <w:rsid w:val="00B51AC6"/>
    <w:rsid w:val="00B51BF1"/>
    <w:rsid w:val="00B624F4"/>
    <w:rsid w:val="00B824B6"/>
    <w:rsid w:val="00BA77D5"/>
    <w:rsid w:val="00BB3F3C"/>
    <w:rsid w:val="00BB75E9"/>
    <w:rsid w:val="00BC1429"/>
    <w:rsid w:val="00BD19E9"/>
    <w:rsid w:val="00BE74ED"/>
    <w:rsid w:val="00BF4DBF"/>
    <w:rsid w:val="00C07FDD"/>
    <w:rsid w:val="00C11DC8"/>
    <w:rsid w:val="00C31B0F"/>
    <w:rsid w:val="00C35EEC"/>
    <w:rsid w:val="00C735D1"/>
    <w:rsid w:val="00C73C40"/>
    <w:rsid w:val="00C953A5"/>
    <w:rsid w:val="00CB7C66"/>
    <w:rsid w:val="00CC40A7"/>
    <w:rsid w:val="00CC69EB"/>
    <w:rsid w:val="00CC7E67"/>
    <w:rsid w:val="00CD4A69"/>
    <w:rsid w:val="00D2472A"/>
    <w:rsid w:val="00D366FF"/>
    <w:rsid w:val="00D749CC"/>
    <w:rsid w:val="00D756D0"/>
    <w:rsid w:val="00DB4B9B"/>
    <w:rsid w:val="00E14568"/>
    <w:rsid w:val="00E20A25"/>
    <w:rsid w:val="00E22221"/>
    <w:rsid w:val="00E3567E"/>
    <w:rsid w:val="00E6108B"/>
    <w:rsid w:val="00E64310"/>
    <w:rsid w:val="00E77415"/>
    <w:rsid w:val="00EA7E69"/>
    <w:rsid w:val="00EF4052"/>
    <w:rsid w:val="00F05614"/>
    <w:rsid w:val="00F27C57"/>
    <w:rsid w:val="00F35DFA"/>
    <w:rsid w:val="00F5395D"/>
    <w:rsid w:val="00F53BA1"/>
    <w:rsid w:val="00F8491B"/>
    <w:rsid w:val="00FB3A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33E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33E87"/>
    <w:rPr>
      <w:rFonts w:ascii="Tahoma" w:hAnsi="Tahoma" w:cs="Tahoma"/>
      <w:sz w:val="16"/>
      <w:szCs w:val="16"/>
    </w:rPr>
  </w:style>
  <w:style w:type="paragraph" w:styleId="a4">
    <w:name w:val="Plain Text"/>
    <w:basedOn w:val="a"/>
    <w:link w:val="Char0"/>
    <w:uiPriority w:val="99"/>
    <w:unhideWhenUsed/>
    <w:rsid w:val="0052545A"/>
    <w:pPr>
      <w:spacing w:after="0" w:line="240" w:lineRule="auto"/>
    </w:pPr>
    <w:rPr>
      <w:rFonts w:ascii="Consolas" w:hAnsi="Consolas"/>
      <w:sz w:val="21"/>
      <w:szCs w:val="21"/>
      <w:lang w:val="el-GR"/>
    </w:rPr>
  </w:style>
  <w:style w:type="character" w:customStyle="1" w:styleId="Char0">
    <w:name w:val="Απλό κείμενο Char"/>
    <w:basedOn w:val="a0"/>
    <w:link w:val="a4"/>
    <w:uiPriority w:val="99"/>
    <w:rsid w:val="0052545A"/>
    <w:rPr>
      <w:rFonts w:ascii="Consolas" w:hAnsi="Consolas"/>
      <w:sz w:val="21"/>
      <w:szCs w:val="21"/>
      <w:lang w:val="el-GR"/>
    </w:rPr>
  </w:style>
  <w:style w:type="paragraph" w:styleId="a5">
    <w:name w:val="header"/>
    <w:basedOn w:val="a"/>
    <w:link w:val="Char1"/>
    <w:uiPriority w:val="99"/>
    <w:semiHidden/>
    <w:unhideWhenUsed/>
    <w:rsid w:val="002C6779"/>
    <w:pPr>
      <w:tabs>
        <w:tab w:val="center" w:pos="4513"/>
        <w:tab w:val="right" w:pos="9026"/>
      </w:tabs>
      <w:spacing w:after="0" w:line="240" w:lineRule="auto"/>
    </w:pPr>
  </w:style>
  <w:style w:type="character" w:customStyle="1" w:styleId="Char1">
    <w:name w:val="Κεφαλίδα Char"/>
    <w:basedOn w:val="a0"/>
    <w:link w:val="a5"/>
    <w:uiPriority w:val="99"/>
    <w:semiHidden/>
    <w:rsid w:val="002C6779"/>
  </w:style>
  <w:style w:type="paragraph" w:styleId="a6">
    <w:name w:val="footer"/>
    <w:basedOn w:val="a"/>
    <w:link w:val="Char2"/>
    <w:uiPriority w:val="99"/>
    <w:unhideWhenUsed/>
    <w:rsid w:val="002C6779"/>
    <w:pPr>
      <w:tabs>
        <w:tab w:val="center" w:pos="4513"/>
        <w:tab w:val="right" w:pos="9026"/>
      </w:tabs>
      <w:spacing w:after="0" w:line="240" w:lineRule="auto"/>
    </w:pPr>
  </w:style>
  <w:style w:type="character" w:customStyle="1" w:styleId="Char2">
    <w:name w:val="Υποσέλιδο Char"/>
    <w:basedOn w:val="a0"/>
    <w:link w:val="a6"/>
    <w:uiPriority w:val="99"/>
    <w:rsid w:val="002C6779"/>
  </w:style>
  <w:style w:type="paragraph" w:customStyle="1" w:styleId="Default">
    <w:name w:val="Default"/>
    <w:rsid w:val="006E7BFE"/>
    <w:pPr>
      <w:autoSpaceDE w:val="0"/>
      <w:autoSpaceDN w:val="0"/>
      <w:adjustRightInd w:val="0"/>
      <w:spacing w:after="0" w:line="240" w:lineRule="auto"/>
    </w:pPr>
    <w:rPr>
      <w:rFonts w:ascii="Calibri" w:hAnsi="Calibri" w:cs="Calibri"/>
      <w:color w:val="000000"/>
      <w:sz w:val="24"/>
      <w:szCs w:val="24"/>
      <w:lang w:val="el-GR"/>
    </w:rPr>
  </w:style>
  <w:style w:type="paragraph" w:styleId="a7">
    <w:name w:val="List Paragraph"/>
    <w:basedOn w:val="a"/>
    <w:uiPriority w:val="34"/>
    <w:qFormat/>
    <w:rsid w:val="00045AD7"/>
    <w:pPr>
      <w:ind w:left="720"/>
      <w:contextualSpacing/>
    </w:pPr>
  </w:style>
  <w:style w:type="paragraph" w:styleId="Web">
    <w:name w:val="Normal (Web)"/>
    <w:basedOn w:val="a"/>
    <w:uiPriority w:val="99"/>
    <w:semiHidden/>
    <w:unhideWhenUsed/>
    <w:rsid w:val="00CD4A6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8">
    <w:name w:val="Strong"/>
    <w:basedOn w:val="a0"/>
    <w:uiPriority w:val="22"/>
    <w:qFormat/>
    <w:rsid w:val="00CD4A69"/>
    <w:rPr>
      <w:b/>
      <w:bCs/>
    </w:rPr>
  </w:style>
</w:styles>
</file>

<file path=word/webSettings.xml><?xml version="1.0" encoding="utf-8"?>
<w:webSettings xmlns:r="http://schemas.openxmlformats.org/officeDocument/2006/relationships" xmlns:w="http://schemas.openxmlformats.org/wordprocessingml/2006/main">
  <w:divs>
    <w:div w:id="371998771">
      <w:bodyDiv w:val="1"/>
      <w:marLeft w:val="0"/>
      <w:marRight w:val="0"/>
      <w:marTop w:val="0"/>
      <w:marBottom w:val="0"/>
      <w:divBdr>
        <w:top w:val="none" w:sz="0" w:space="0" w:color="auto"/>
        <w:left w:val="none" w:sz="0" w:space="0" w:color="auto"/>
        <w:bottom w:val="none" w:sz="0" w:space="0" w:color="auto"/>
        <w:right w:val="none" w:sz="0" w:space="0" w:color="auto"/>
      </w:divBdr>
    </w:div>
    <w:div w:id="646856818">
      <w:bodyDiv w:val="1"/>
      <w:marLeft w:val="0"/>
      <w:marRight w:val="0"/>
      <w:marTop w:val="0"/>
      <w:marBottom w:val="0"/>
      <w:divBdr>
        <w:top w:val="none" w:sz="0" w:space="0" w:color="auto"/>
        <w:left w:val="none" w:sz="0" w:space="0" w:color="auto"/>
        <w:bottom w:val="none" w:sz="0" w:space="0" w:color="auto"/>
        <w:right w:val="none" w:sz="0" w:space="0" w:color="auto"/>
      </w:divBdr>
    </w:div>
    <w:div w:id="16798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917;&#929;&#917;&#933;&#925;&#917;&#931;\epoxikes\&#935;&#949;&#953;&#956;&#949;&#961;&#953;&#957;&#949;&#962;%202018\&#967;&#949;&#953;&#956;&#949;&#961;&#953;&#957;&#941;&#962;_2018_graph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917;&#929;&#917;&#933;&#925;&#917;&#931;\epoxikes\&#935;&#949;&#953;&#956;&#949;&#961;&#953;&#957;&#949;&#962;%202018\&#967;&#949;&#953;&#956;&#949;&#961;&#953;&#957;&#941;&#962;_2018_graph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917;&#929;&#917;&#933;&#925;&#917;&#931;\epoxikes\&#935;&#949;&#953;&#956;&#949;&#961;&#953;&#957;&#949;&#962;%202018\&#967;&#949;&#953;&#956;&#949;&#961;&#953;&#957;&#941;&#962;_2018_graph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917;&#929;&#917;&#933;&#925;&#917;&#931;\epoxikes\&#935;&#949;&#953;&#956;&#949;&#961;&#953;&#957;&#949;&#962;%202018\&#967;&#949;&#953;&#956;&#949;&#961;&#953;&#957;&#941;&#962;_2018_graph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917;&#929;&#917;&#933;&#925;&#917;&#931;\epoxikes\&#935;&#949;&#953;&#956;&#949;&#961;&#953;&#957;&#949;&#962;%202018\&#967;&#949;&#953;&#956;&#949;&#961;&#953;&#957;&#941;&#962;_2018_graph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917;&#929;&#917;&#933;&#925;&#917;&#931;\epoxikes\&#935;&#949;&#953;&#956;&#949;&#961;&#953;&#957;&#949;&#962;%202018\&#967;&#949;&#953;&#956;&#949;&#961;&#953;&#957;&#941;&#962;_2018_graph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917;&#929;&#917;&#933;&#925;&#917;&#931;\epoxikes\&#935;&#949;&#953;&#956;&#949;&#961;&#953;&#957;&#949;&#962;%202018\&#967;&#949;&#953;&#956;&#949;&#961;&#953;&#957;&#941;&#962;_2018_graph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917;&#929;&#917;&#933;&#925;&#917;&#931;\epoxikes\&#935;&#949;&#953;&#956;&#949;&#961;&#953;&#957;&#949;&#962;%202018\&#967;&#949;&#953;&#956;&#949;&#961;&#953;&#957;&#941;&#962;_2018_graph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917;&#929;&#917;&#933;&#925;&#917;&#931;\epoxikes\&#935;&#949;&#953;&#956;&#949;&#961;&#953;&#957;&#949;&#962;%202018\&#967;&#949;&#953;&#956;&#949;&#961;&#953;&#957;&#941;&#962;_2018_graph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a:pPr>
            <a:r>
              <a:rPr lang="el-GR" sz="1400"/>
              <a:t>Διάγραμμα 1 : Ποσοστό έκπτωσης κατά την περίοδο των χειμερινών </a:t>
            </a:r>
            <a:r>
              <a:rPr lang="el-GR" sz="1400" baseline="0"/>
              <a:t>εκπτώσεων του 2018</a:t>
            </a:r>
            <a:endParaRPr lang="el-GR" sz="1400"/>
          </a:p>
        </c:rich>
      </c:tx>
      <c:layout/>
    </c:title>
    <c:view3D>
      <c:rotX val="30"/>
      <c:perspective val="30"/>
    </c:view3D>
    <c:plotArea>
      <c:layout/>
      <c:pie3DChart>
        <c:varyColors val="1"/>
        <c:ser>
          <c:idx val="0"/>
          <c:order val="0"/>
          <c:explosion val="25"/>
          <c:dLbls>
            <c:numFmt formatCode="0%" sourceLinked="0"/>
            <c:spPr>
              <a:noFill/>
              <a:ln>
                <a:noFill/>
              </a:ln>
              <a:effectLst/>
            </c:spPr>
            <c:showVal val="1"/>
            <c:showLeaderLines val="1"/>
            <c:extLst xmlns:c16r2="http://schemas.microsoft.com/office/drawing/2015/06/chart">
              <c:ext xmlns:c15="http://schemas.microsoft.com/office/drawing/2012/chart" uri="{CE6537A1-D6FC-4f65-9D91-7224C49458BB}"/>
            </c:extLst>
          </c:dLbls>
          <c:cat>
            <c:strRef>
              <c:f>Sheet1!$B$5:$B$9</c:f>
              <c:strCache>
                <c:ptCount val="5"/>
                <c:pt idx="0">
                  <c:v>1-10%</c:v>
                </c:pt>
                <c:pt idx="1">
                  <c:v>11%-20%</c:v>
                </c:pt>
                <c:pt idx="2">
                  <c:v>21-40%</c:v>
                </c:pt>
                <c:pt idx="3">
                  <c:v>41%-50%</c:v>
                </c:pt>
                <c:pt idx="4">
                  <c:v> 50% και άνω </c:v>
                </c:pt>
              </c:strCache>
            </c:strRef>
          </c:cat>
          <c:val>
            <c:numRef>
              <c:f>Sheet1!$E$5:$E$9</c:f>
              <c:numCache>
                <c:formatCode>####.000</c:formatCode>
                <c:ptCount val="5"/>
                <c:pt idx="0">
                  <c:v>8.1339712918660281E-2</c:v>
                </c:pt>
                <c:pt idx="1">
                  <c:v>0.1770334928229669</c:v>
                </c:pt>
                <c:pt idx="2">
                  <c:v>0.35406698564593347</c:v>
                </c:pt>
                <c:pt idx="3">
                  <c:v>0.28708133971291888</c:v>
                </c:pt>
                <c:pt idx="4">
                  <c:v>9.569377990430622E-2</c:v>
                </c:pt>
              </c:numCache>
            </c:numRef>
          </c:val>
          <c:extLst xmlns:c16r2="http://schemas.microsoft.com/office/drawing/2015/06/chart">
            <c:ext xmlns:c16="http://schemas.microsoft.com/office/drawing/2014/chart" uri="{C3380CC4-5D6E-409C-BE32-E72D297353CC}">
              <c16:uniqueId val="{00000000-8AB2-4254-B72B-C72939F4B974}"/>
            </c:ext>
          </c:extLst>
        </c:ser>
        <c:dLbls/>
      </c:pie3DChart>
      <c:spPr>
        <a:noFill/>
        <a:ln w="25400">
          <a:noFill/>
        </a:ln>
      </c:spPr>
    </c:plotArea>
    <c:legend>
      <c:legendPos val="r"/>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a:pPr>
            <a:r>
              <a:rPr lang="el-GR" sz="1400" b="1" i="0" u="none" strike="noStrike" baseline="0"/>
              <a:t>Διάγραμμα 2 : </a:t>
            </a:r>
            <a:r>
              <a:rPr lang="el-GR" sz="1400"/>
              <a:t>Οι πωλήσεις στις χειμερινές</a:t>
            </a:r>
            <a:r>
              <a:rPr lang="el-GR" sz="1400" baseline="0"/>
              <a:t> </a:t>
            </a:r>
            <a:r>
              <a:rPr lang="el-GR" sz="1400"/>
              <a:t>εκπτώσεις του 2018 συγκριτικά με το 2017</a:t>
            </a:r>
          </a:p>
        </c:rich>
      </c:tx>
      <c:layout/>
    </c:title>
    <c:view3D>
      <c:rotX val="30"/>
      <c:perspective val="30"/>
    </c:view3D>
    <c:plotArea>
      <c:layout/>
      <c:pie3DChart>
        <c:varyColors val="1"/>
        <c:ser>
          <c:idx val="0"/>
          <c:order val="0"/>
          <c:explosion val="25"/>
          <c:dLbls>
            <c:numFmt formatCode="0%" sourceLinked="0"/>
            <c:spPr>
              <a:noFill/>
              <a:ln>
                <a:noFill/>
              </a:ln>
              <a:effectLst/>
            </c:spPr>
            <c:showVal val="1"/>
            <c:showLeaderLines val="1"/>
            <c:extLst xmlns:c16r2="http://schemas.microsoft.com/office/drawing/2015/06/chart">
              <c:ext xmlns:c15="http://schemas.microsoft.com/office/drawing/2012/chart" uri="{CE6537A1-D6FC-4f65-9D91-7224C49458BB}"/>
            </c:extLst>
          </c:dLbls>
          <c:cat>
            <c:strRef>
              <c:f>Sheet1!$B$45:$B$47</c:f>
              <c:strCache>
                <c:ptCount val="3"/>
                <c:pt idx="0">
                  <c:v>Καλύτερα από το 2017</c:v>
                </c:pt>
                <c:pt idx="1">
                  <c:v>Χειρότερα από το 2017</c:v>
                </c:pt>
                <c:pt idx="2">
                  <c:v>Στα ίδια επίπεδα</c:v>
                </c:pt>
              </c:strCache>
            </c:strRef>
          </c:cat>
          <c:val>
            <c:numRef>
              <c:f>Sheet1!$E$45:$E$47</c:f>
              <c:numCache>
                <c:formatCode>####.000</c:formatCode>
                <c:ptCount val="3"/>
                <c:pt idx="0">
                  <c:v>7.6555023923444973E-2</c:v>
                </c:pt>
                <c:pt idx="1">
                  <c:v>0.66028708133971292</c:v>
                </c:pt>
                <c:pt idx="2">
                  <c:v>0.25837320574162681</c:v>
                </c:pt>
              </c:numCache>
            </c:numRef>
          </c:val>
          <c:extLst xmlns:c16r2="http://schemas.microsoft.com/office/drawing/2015/06/chart">
            <c:ext xmlns:c16="http://schemas.microsoft.com/office/drawing/2014/chart" uri="{C3380CC4-5D6E-409C-BE32-E72D297353CC}">
              <c16:uniqueId val="{00000000-9A3D-4AF6-9796-C73530CBD4E5}"/>
            </c:ext>
          </c:extLst>
        </c:ser>
        <c:dLbls/>
      </c:pie3DChart>
      <c:spPr>
        <a:noFill/>
        <a:ln w="25400">
          <a:noFill/>
        </a:ln>
      </c:spPr>
    </c:plotArea>
    <c:legend>
      <c:legendPos val="r"/>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a:pPr>
            <a:r>
              <a:rPr lang="el-GR" sz="1400" b="1" i="0" u="none" strike="noStrike" baseline="0"/>
              <a:t>Διάγραμμα 3 : </a:t>
            </a:r>
            <a:r>
              <a:rPr lang="el-GR" sz="1400" b="1" i="0" baseline="0"/>
              <a:t>Ποσοστό μείωσης των πωλήσεων </a:t>
            </a:r>
            <a:endParaRPr lang="en-GB" sz="1400"/>
          </a:p>
        </c:rich>
      </c:tx>
      <c:layout/>
    </c:title>
    <c:view3D>
      <c:rotX val="30"/>
      <c:perspective val="30"/>
    </c:view3D>
    <c:plotArea>
      <c:layout/>
      <c:pie3DChart>
        <c:varyColors val="1"/>
        <c:ser>
          <c:idx val="0"/>
          <c:order val="0"/>
          <c:explosion val="25"/>
          <c:dLbls>
            <c:numFmt formatCode="0%" sourceLinked="0"/>
            <c:spPr>
              <a:noFill/>
              <a:ln>
                <a:noFill/>
              </a:ln>
              <a:effectLst/>
            </c:spPr>
            <c:showVal val="1"/>
            <c:showLeaderLines val="1"/>
            <c:extLst xmlns:c16r2="http://schemas.microsoft.com/office/drawing/2015/06/chart">
              <c:ext xmlns:c15="http://schemas.microsoft.com/office/drawing/2012/chart" uri="{CE6537A1-D6FC-4f65-9D91-7224C49458BB}"/>
            </c:extLst>
          </c:dLbls>
          <c:cat>
            <c:strRef>
              <c:f>Sheet1!$B$83:$B$88</c:f>
              <c:strCache>
                <c:ptCount val="6"/>
                <c:pt idx="0">
                  <c:v>1 – 10%</c:v>
                </c:pt>
                <c:pt idx="1">
                  <c:v>11% - 20% </c:v>
                </c:pt>
                <c:pt idx="2">
                  <c:v>21% - 30%</c:v>
                </c:pt>
                <c:pt idx="3">
                  <c:v>31%- 40%</c:v>
                </c:pt>
                <c:pt idx="4">
                  <c:v>μεγαλύτερη από 41% </c:v>
                </c:pt>
                <c:pt idx="5">
                  <c:v>ΔΑ</c:v>
                </c:pt>
              </c:strCache>
            </c:strRef>
          </c:cat>
          <c:val>
            <c:numRef>
              <c:f>Sheet1!$E$83:$E$88</c:f>
              <c:numCache>
                <c:formatCode>####.000</c:formatCode>
                <c:ptCount val="6"/>
                <c:pt idx="0">
                  <c:v>0.15217391304347827</c:v>
                </c:pt>
                <c:pt idx="1">
                  <c:v>0.27536231884057982</c:v>
                </c:pt>
                <c:pt idx="2">
                  <c:v>0.21739130434782641</c:v>
                </c:pt>
                <c:pt idx="3">
                  <c:v>0.15942028985507281</c:v>
                </c:pt>
                <c:pt idx="4">
                  <c:v>0.15942028985507281</c:v>
                </c:pt>
                <c:pt idx="5">
                  <c:v>3.6231884057971057E-2</c:v>
                </c:pt>
              </c:numCache>
            </c:numRef>
          </c:val>
          <c:extLst xmlns:c16r2="http://schemas.microsoft.com/office/drawing/2015/06/chart">
            <c:ext xmlns:c16="http://schemas.microsoft.com/office/drawing/2014/chart" uri="{C3380CC4-5D6E-409C-BE32-E72D297353CC}">
              <c16:uniqueId val="{00000000-38D0-4CCF-8AF9-DF08F710666B}"/>
            </c:ext>
          </c:extLst>
        </c:ser>
        <c:dLbls/>
      </c:pie3DChart>
      <c:spPr>
        <a:noFill/>
        <a:ln w="25400">
          <a:noFill/>
        </a:ln>
      </c:spPr>
    </c:plotArea>
    <c:legend>
      <c:legendPos val="r"/>
      <c:layout/>
      <c:txPr>
        <a:bodyPr/>
        <a:lstStyle/>
        <a:p>
          <a:pPr rtl="0">
            <a:defRPr/>
          </a:pPr>
          <a:endParaRPr lang="el-GR"/>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a:pPr>
            <a:r>
              <a:rPr lang="el-GR" sz="1400" b="1" i="0" u="none" strike="noStrike" baseline="0"/>
              <a:t>Διάγραμμα 4 : </a:t>
            </a:r>
            <a:r>
              <a:rPr lang="el-GR" sz="1400"/>
              <a:t>Καλύτερη περίοδος</a:t>
            </a:r>
            <a:r>
              <a:rPr lang="el-GR" sz="1400" baseline="0"/>
              <a:t> των εκπτώσεων από άποψη αγοραστικής κίνησης</a:t>
            </a:r>
            <a:endParaRPr lang="el-GR" sz="1400"/>
          </a:p>
        </c:rich>
      </c:tx>
      <c:layout/>
    </c:title>
    <c:view3D>
      <c:rotX val="30"/>
      <c:perspective val="30"/>
    </c:view3D>
    <c:plotArea>
      <c:layout/>
      <c:pie3DChart>
        <c:varyColors val="1"/>
        <c:ser>
          <c:idx val="0"/>
          <c:order val="0"/>
          <c:explosion val="25"/>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Sheet1!$B$110:$B$114</c:f>
              <c:strCache>
                <c:ptCount val="5"/>
                <c:pt idx="0">
                  <c:v>8/1 έως 31/1</c:v>
                </c:pt>
                <c:pt idx="1">
                  <c:v>1/2 έως 15/2</c:v>
                </c:pt>
                <c:pt idx="2">
                  <c:v>16/2 έως τέλος εκπτώσεων</c:v>
                </c:pt>
                <c:pt idx="3">
                  <c:v>Δεν υπήρχε διαφορά</c:v>
                </c:pt>
                <c:pt idx="4">
                  <c:v>ΔΑ</c:v>
                </c:pt>
              </c:strCache>
            </c:strRef>
          </c:cat>
          <c:val>
            <c:numRef>
              <c:f>Sheet1!$E$110:$E$114</c:f>
              <c:numCache>
                <c:formatCode>0%</c:formatCode>
                <c:ptCount val="5"/>
                <c:pt idx="0">
                  <c:v>0.58373205741626732</c:v>
                </c:pt>
                <c:pt idx="1">
                  <c:v>0.14354066985645941</c:v>
                </c:pt>
                <c:pt idx="2">
                  <c:v>0.11004784688995208</c:v>
                </c:pt>
                <c:pt idx="3">
                  <c:v>0.14354066985645941</c:v>
                </c:pt>
                <c:pt idx="4">
                  <c:v>1.9138755980861243E-2</c:v>
                </c:pt>
              </c:numCache>
            </c:numRef>
          </c:val>
          <c:extLst xmlns:c16r2="http://schemas.microsoft.com/office/drawing/2015/06/chart">
            <c:ext xmlns:c16="http://schemas.microsoft.com/office/drawing/2014/chart" uri="{C3380CC4-5D6E-409C-BE32-E72D297353CC}">
              <c16:uniqueId val="{00000000-0657-42C7-864B-EB904FF2EED9}"/>
            </c:ext>
          </c:extLst>
        </c:ser>
        <c:dLbls/>
      </c:pie3DChart>
      <c:spPr>
        <a:noFill/>
        <a:ln w="25400">
          <a:noFill/>
        </a:ln>
      </c:spPr>
    </c:plotArea>
    <c:legend>
      <c:legendPos val="r"/>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a:pPr>
            <a:r>
              <a:rPr lang="el-GR" sz="1400" b="1" i="0" u="none" strike="noStrike" baseline="0"/>
              <a:t>Διάγραμμα 5 : </a:t>
            </a:r>
            <a:r>
              <a:rPr lang="el-GR" sz="1400"/>
              <a:t>Αν οι πελάτες κατά την περίοδο των εκπτώσεων χρησιμοποίησαν κυρίως για τις αγορές τους κάρτες ή μετρητά</a:t>
            </a:r>
          </a:p>
        </c:rich>
      </c:tx>
      <c:layout/>
    </c:title>
    <c:view3D>
      <c:rotX val="30"/>
      <c:perspective val="30"/>
    </c:view3D>
    <c:plotArea>
      <c:layout/>
      <c:pie3DChart>
        <c:varyColors val="1"/>
        <c:ser>
          <c:idx val="0"/>
          <c:order val="0"/>
          <c:explosion val="25"/>
          <c:dLbls>
            <c:numFmt formatCode="0%" sourceLinked="0"/>
            <c:spPr>
              <a:noFill/>
              <a:ln>
                <a:noFill/>
              </a:ln>
              <a:effectLst/>
            </c:spPr>
            <c:showVal val="1"/>
            <c:showLeaderLines val="1"/>
            <c:extLst xmlns:c16r2="http://schemas.microsoft.com/office/drawing/2015/06/chart">
              <c:ext xmlns:c15="http://schemas.microsoft.com/office/drawing/2012/chart" uri="{CE6537A1-D6FC-4f65-9D91-7224C49458BB}"/>
            </c:extLst>
          </c:dLbls>
          <c:cat>
            <c:strRef>
              <c:f>Sheet1!$B$120:$B$122</c:f>
              <c:strCache>
                <c:ptCount val="3"/>
                <c:pt idx="0">
                  <c:v>Πιστωτικές κάρτες </c:v>
                </c:pt>
                <c:pt idx="1">
                  <c:v>Μετρητά </c:v>
                </c:pt>
                <c:pt idx="2">
                  <c:v>Και τα δύο το ίδιο</c:v>
                </c:pt>
              </c:strCache>
            </c:strRef>
          </c:cat>
          <c:val>
            <c:numRef>
              <c:f>Sheet1!$E$120:$E$122</c:f>
              <c:numCache>
                <c:formatCode>####.000</c:formatCode>
                <c:ptCount val="3"/>
                <c:pt idx="0">
                  <c:v>0.50717703349282295</c:v>
                </c:pt>
                <c:pt idx="1">
                  <c:v>0.1770334928229669</c:v>
                </c:pt>
                <c:pt idx="2">
                  <c:v>0.31100478468899562</c:v>
                </c:pt>
              </c:numCache>
            </c:numRef>
          </c:val>
          <c:extLst xmlns:c16r2="http://schemas.microsoft.com/office/drawing/2015/06/chart">
            <c:ext xmlns:c16="http://schemas.microsoft.com/office/drawing/2014/chart" uri="{C3380CC4-5D6E-409C-BE32-E72D297353CC}">
              <c16:uniqueId val="{00000000-5DD7-4F6F-A6B9-A26B19F512D2}"/>
            </c:ext>
          </c:extLst>
        </c:ser>
        <c:dLbls/>
      </c:pie3DChart>
      <c:spPr>
        <a:noFill/>
        <a:ln w="25400">
          <a:noFill/>
        </a:ln>
      </c:spPr>
    </c:plotArea>
    <c:legend>
      <c:legendPos val="r"/>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a:pPr>
            <a:r>
              <a:rPr lang="el-GR" sz="1400" b="1" i="0" u="none" strike="noStrike" baseline="0"/>
              <a:t>Διάγραμμα 6 : </a:t>
            </a:r>
            <a:r>
              <a:rPr lang="el-GR" sz="1400"/>
              <a:t>Πως επηρέασε η</a:t>
            </a:r>
            <a:r>
              <a:rPr lang="el-GR" sz="1400" baseline="0"/>
              <a:t> λειτουργία της επιχείρησης </a:t>
            </a:r>
            <a:r>
              <a:rPr lang="el-GR" sz="1400"/>
              <a:t>την Κυριακή 1</a:t>
            </a:r>
            <a:r>
              <a:rPr lang="en-GB" sz="1400"/>
              <a:t>4</a:t>
            </a:r>
            <a:r>
              <a:rPr lang="el-GR" sz="1400"/>
              <a:t> Ιανουαρίου, το</a:t>
            </a:r>
            <a:r>
              <a:rPr lang="el-GR" sz="1400" baseline="0"/>
              <a:t> </a:t>
            </a:r>
            <a:r>
              <a:rPr lang="el-GR" sz="1400"/>
              <a:t>συνολικό τζίρο της εκπτωτικής περιόδου</a:t>
            </a:r>
          </a:p>
        </c:rich>
      </c:tx>
      <c:layout>
        <c:manualLayout>
          <c:xMode val="edge"/>
          <c:yMode val="edge"/>
          <c:x val="9.3454766652022722E-2"/>
          <c:y val="2.7303754266211604E-2"/>
        </c:manualLayout>
      </c:layout>
    </c:title>
    <c:view3D>
      <c:rotX val="30"/>
      <c:perspective val="30"/>
    </c:view3D>
    <c:plotArea>
      <c:layout/>
      <c:pie3DChart>
        <c:varyColors val="1"/>
        <c:ser>
          <c:idx val="0"/>
          <c:order val="0"/>
          <c:explosion val="25"/>
          <c:dPt>
            <c:idx val="3"/>
            <c:spPr>
              <a:solidFill>
                <a:schemeClr val="bg1">
                  <a:lumMod val="75000"/>
                </a:schemeClr>
              </a:solidFill>
            </c:spPr>
            <c:extLst xmlns:c16r2="http://schemas.microsoft.com/office/drawing/2015/06/chart">
              <c:ext xmlns:c16="http://schemas.microsoft.com/office/drawing/2014/chart" uri="{C3380CC4-5D6E-409C-BE32-E72D297353CC}">
                <c16:uniqueId val="{00000000-B9E0-4D5C-92B7-2A6F400B7EE3}"/>
              </c:ext>
            </c:extLst>
          </c:dPt>
          <c:dLbls>
            <c:numFmt formatCode="0%" sourceLinked="0"/>
            <c:spPr>
              <a:noFill/>
              <a:ln>
                <a:noFill/>
              </a:ln>
              <a:effectLst/>
            </c:spPr>
            <c:showVal val="1"/>
            <c:showLeaderLines val="1"/>
            <c:extLst xmlns:c16r2="http://schemas.microsoft.com/office/drawing/2015/06/chart">
              <c:ext xmlns:c15="http://schemas.microsoft.com/office/drawing/2012/chart" uri="{CE6537A1-D6FC-4f65-9D91-7224C49458BB}"/>
            </c:extLst>
          </c:dLbls>
          <c:cat>
            <c:strRef>
              <c:f>Sheet1!$B$143:$B$146</c:f>
              <c:strCache>
                <c:ptCount val="4"/>
                <c:pt idx="0">
                  <c:v>Θετικά</c:v>
                </c:pt>
                <c:pt idx="1">
                  <c:v>Αρνητικά</c:v>
                </c:pt>
                <c:pt idx="2">
                  <c:v>Δεν επηρέασε</c:v>
                </c:pt>
                <c:pt idx="3">
                  <c:v>ΔΓ/ΔΑ</c:v>
                </c:pt>
              </c:strCache>
            </c:strRef>
          </c:cat>
          <c:val>
            <c:numRef>
              <c:f>Sheet1!$E$143:$E$146</c:f>
              <c:numCache>
                <c:formatCode>####.000</c:formatCode>
                <c:ptCount val="4"/>
                <c:pt idx="0">
                  <c:v>2.3529411764705879E-2</c:v>
                </c:pt>
                <c:pt idx="1">
                  <c:v>0.24705882352941191</c:v>
                </c:pt>
                <c:pt idx="2">
                  <c:v>0.71764705882353053</c:v>
                </c:pt>
                <c:pt idx="3">
                  <c:v>1.1764705882352957E-2</c:v>
                </c:pt>
              </c:numCache>
            </c:numRef>
          </c:val>
          <c:extLst xmlns:c16r2="http://schemas.microsoft.com/office/drawing/2015/06/chart">
            <c:ext xmlns:c16="http://schemas.microsoft.com/office/drawing/2014/chart" uri="{C3380CC4-5D6E-409C-BE32-E72D297353CC}">
              <c16:uniqueId val="{00000001-B9E0-4D5C-92B7-2A6F400B7EE3}"/>
            </c:ext>
          </c:extLst>
        </c:ser>
        <c:dLbls/>
      </c:pie3DChart>
      <c:spPr>
        <a:noFill/>
        <a:ln w="25400">
          <a:noFill/>
        </a:ln>
      </c:spPr>
    </c:plotArea>
    <c:legend>
      <c:legendPos val="r"/>
      <c:layou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a:pPr>
            <a:r>
              <a:rPr lang="el-GR" sz="1400" b="1" i="0" u="none" strike="noStrike" baseline="0"/>
              <a:t>Διάγραμμα 7 : </a:t>
            </a:r>
            <a:r>
              <a:rPr lang="el-GR" sz="1400"/>
              <a:t>Πώς καλύπτουν την ανάγκη απασχόλησης προσωπικού για την λειτουργία του καταστήματος την Κυριακή</a:t>
            </a:r>
          </a:p>
        </c:rich>
      </c:tx>
      <c:layout/>
    </c:title>
    <c:view3D>
      <c:rotX val="30"/>
      <c:perspective val="30"/>
    </c:view3D>
    <c:plotArea>
      <c:layout/>
      <c:pie3DChart>
        <c:varyColors val="1"/>
        <c:ser>
          <c:idx val="0"/>
          <c:order val="0"/>
          <c:explosion val="25"/>
          <c:dPt>
            <c:idx val="3"/>
            <c:spPr>
              <a:solidFill>
                <a:sysClr val="window" lastClr="FFFFFF">
                  <a:lumMod val="75000"/>
                </a:sysClr>
              </a:solidFill>
            </c:spPr>
            <c:extLst xmlns:c16r2="http://schemas.microsoft.com/office/drawing/2015/06/chart">
              <c:ext xmlns:c16="http://schemas.microsoft.com/office/drawing/2014/chart" uri="{C3380CC4-5D6E-409C-BE32-E72D297353CC}">
                <c16:uniqueId val="{00000000-69A7-4F6E-A23E-996B9B03CCC2}"/>
              </c:ext>
            </c:extLst>
          </c:dPt>
          <c:dLbls>
            <c:numFmt formatCode="0%" sourceLinked="0"/>
            <c:spPr>
              <a:noFill/>
              <a:ln>
                <a:noFill/>
              </a:ln>
              <a:effectLst/>
            </c:spPr>
            <c:showVal val="1"/>
            <c:showLeaderLines val="1"/>
            <c:extLst xmlns:c16r2="http://schemas.microsoft.com/office/drawing/2015/06/chart">
              <c:ext xmlns:c15="http://schemas.microsoft.com/office/drawing/2012/chart" uri="{CE6537A1-D6FC-4f65-9D91-7224C49458BB}"/>
            </c:extLst>
          </c:dLbls>
          <c:cat>
            <c:strRef>
              <c:f>Sheet1!$B$156:$B$159</c:f>
              <c:strCache>
                <c:ptCount val="4"/>
                <c:pt idx="0">
                  <c:v>Έχω προσλάβει επιπλέον υπάλληλο</c:v>
                </c:pt>
                <c:pt idx="1">
                  <c:v>Έχει επεκταθεί το ωράριο εργασίας των ήδη υπαρχόντων υπαλλήλων</c:v>
                </c:pt>
                <c:pt idx="2">
                  <c:v>Έχω επωμιστεί προσωπικά την κάλυψη της ανάγκης</c:v>
                </c:pt>
                <c:pt idx="3">
                  <c:v>ΔΓ/ΔΑ</c:v>
                </c:pt>
              </c:strCache>
            </c:strRef>
          </c:cat>
          <c:val>
            <c:numRef>
              <c:f>Sheet1!$E$156:$E$159</c:f>
              <c:numCache>
                <c:formatCode>####.000</c:formatCode>
                <c:ptCount val="4"/>
                <c:pt idx="0">
                  <c:v>1.1764705882352957E-2</c:v>
                </c:pt>
                <c:pt idx="1">
                  <c:v>0.2352941176470589</c:v>
                </c:pt>
                <c:pt idx="2">
                  <c:v>0.74117647058823599</c:v>
                </c:pt>
                <c:pt idx="3">
                  <c:v>1.1764705882352957E-2</c:v>
                </c:pt>
              </c:numCache>
            </c:numRef>
          </c:val>
          <c:extLst xmlns:c16r2="http://schemas.microsoft.com/office/drawing/2015/06/chart">
            <c:ext xmlns:c16="http://schemas.microsoft.com/office/drawing/2014/chart" uri="{C3380CC4-5D6E-409C-BE32-E72D297353CC}">
              <c16:uniqueId val="{00000001-69A7-4F6E-A23E-996B9B03CCC2}"/>
            </c:ext>
          </c:extLst>
        </c:ser>
        <c:dLbls/>
      </c:pie3DChart>
      <c:spPr>
        <a:noFill/>
        <a:ln w="25400">
          <a:noFill/>
        </a:ln>
      </c:spPr>
    </c:plotArea>
    <c:legend>
      <c:legendPos val="r"/>
      <c:layout/>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a:pPr>
            <a:r>
              <a:rPr lang="el-GR" sz="1400"/>
              <a:t>Διάγραμμα 8 : Ποσοστό έκπτωσης κατά την περίοδο των χειμερινών </a:t>
            </a:r>
            <a:r>
              <a:rPr lang="el-GR" sz="1400" baseline="0"/>
              <a:t>εκπτώσεων του 2018</a:t>
            </a:r>
            <a:endParaRPr lang="el-GR" sz="1400"/>
          </a:p>
        </c:rich>
      </c:tx>
      <c:layout/>
    </c:title>
    <c:view3D>
      <c:rotX val="30"/>
      <c:perspective val="30"/>
    </c:view3D>
    <c:plotArea>
      <c:layout/>
      <c:pie3DChart>
        <c:varyColors val="1"/>
        <c:ser>
          <c:idx val="0"/>
          <c:order val="0"/>
          <c:explosion val="25"/>
          <c:dLbls>
            <c:numFmt formatCode="0%" sourceLinked="0"/>
            <c:spPr>
              <a:noFill/>
              <a:ln>
                <a:noFill/>
              </a:ln>
              <a:effectLst/>
            </c:spPr>
            <c:showVal val="1"/>
            <c:showLeaderLines val="1"/>
            <c:extLst xmlns:c16r2="http://schemas.microsoft.com/office/drawing/2015/06/chart">
              <c:ext xmlns:c15="http://schemas.microsoft.com/office/drawing/2012/chart" uri="{CE6537A1-D6FC-4f65-9D91-7224C49458BB}"/>
            </c:extLst>
          </c:dLbls>
          <c:cat>
            <c:strRef>
              <c:f>Sheet1!$B$236:$B$240</c:f>
              <c:strCache>
                <c:ptCount val="5"/>
                <c:pt idx="0">
                  <c:v>1-10%</c:v>
                </c:pt>
                <c:pt idx="1">
                  <c:v>11%-20%</c:v>
                </c:pt>
                <c:pt idx="2">
                  <c:v>21-40%</c:v>
                </c:pt>
                <c:pt idx="3">
                  <c:v>41%-50%</c:v>
                </c:pt>
                <c:pt idx="4">
                  <c:v> 50% και άνω </c:v>
                </c:pt>
              </c:strCache>
            </c:strRef>
          </c:cat>
          <c:val>
            <c:numRef>
              <c:f>Sheet1!$E$236:$E$240</c:f>
              <c:numCache>
                <c:formatCode>####.0</c:formatCode>
                <c:ptCount val="5"/>
                <c:pt idx="0">
                  <c:v>8.8235294117647176E-2</c:v>
                </c:pt>
                <c:pt idx="1">
                  <c:v>0.2352941176470589</c:v>
                </c:pt>
                <c:pt idx="2">
                  <c:v>0.38235294117647123</c:v>
                </c:pt>
                <c:pt idx="3">
                  <c:v>0.2352941176470589</c:v>
                </c:pt>
                <c:pt idx="4">
                  <c:v>5.8823529411764705E-2</c:v>
                </c:pt>
              </c:numCache>
            </c:numRef>
          </c:val>
          <c:extLst xmlns:c16r2="http://schemas.microsoft.com/office/drawing/2015/06/chart">
            <c:ext xmlns:c16="http://schemas.microsoft.com/office/drawing/2014/chart" uri="{C3380CC4-5D6E-409C-BE32-E72D297353CC}">
              <c16:uniqueId val="{00000000-9A68-4557-ABBF-FEE801973754}"/>
            </c:ext>
          </c:extLst>
        </c:ser>
        <c:dLbls/>
      </c:pie3DChart>
      <c:spPr>
        <a:noFill/>
        <a:ln w="25400">
          <a:noFill/>
        </a:ln>
      </c:spPr>
    </c:plotArea>
    <c:legend>
      <c:legendPos val="r"/>
      <c:layout/>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a:pPr>
            <a:r>
              <a:rPr lang="el-GR" sz="1400"/>
              <a:t>Διάγραμμα 9 : Οι πωλήσεις στις χειμερινές</a:t>
            </a:r>
            <a:r>
              <a:rPr lang="el-GR" sz="1400" baseline="0"/>
              <a:t> </a:t>
            </a:r>
            <a:r>
              <a:rPr lang="el-GR" sz="1400"/>
              <a:t>εκπτώσεις του 2018 συγκριτικά με το 2017</a:t>
            </a:r>
          </a:p>
        </c:rich>
      </c:tx>
      <c:layout/>
    </c:title>
    <c:view3D>
      <c:rotX val="30"/>
      <c:perspective val="30"/>
    </c:view3D>
    <c:plotArea>
      <c:layout/>
      <c:pie3DChart>
        <c:varyColors val="1"/>
        <c:ser>
          <c:idx val="0"/>
          <c:order val="0"/>
          <c:explosion val="25"/>
          <c:dLbls>
            <c:numFmt formatCode="0%" sourceLinked="0"/>
            <c:spPr>
              <a:noFill/>
              <a:ln>
                <a:noFill/>
              </a:ln>
              <a:effectLst/>
            </c:spPr>
            <c:showVal val="1"/>
            <c:showLeaderLines val="1"/>
            <c:extLst xmlns:c16r2="http://schemas.microsoft.com/office/drawing/2015/06/chart">
              <c:ext xmlns:c15="http://schemas.microsoft.com/office/drawing/2012/chart" uri="{CE6537A1-D6FC-4f65-9D91-7224C49458BB}"/>
            </c:extLst>
          </c:dLbls>
          <c:cat>
            <c:strRef>
              <c:f>Sheet1!$B$252:$B$254</c:f>
              <c:strCache>
                <c:ptCount val="3"/>
                <c:pt idx="0">
                  <c:v>Καλύτερα από το 2017</c:v>
                </c:pt>
                <c:pt idx="1">
                  <c:v>Χειρότερα από το 2017</c:v>
                </c:pt>
                <c:pt idx="2">
                  <c:v>Στα ίδια επίπεδα</c:v>
                </c:pt>
              </c:strCache>
            </c:strRef>
          </c:cat>
          <c:val>
            <c:numRef>
              <c:f>Sheet1!$E$252:$E$254</c:f>
              <c:numCache>
                <c:formatCode>####.0</c:formatCode>
                <c:ptCount val="3"/>
                <c:pt idx="0">
                  <c:v>5.8823529411764705E-2</c:v>
                </c:pt>
                <c:pt idx="1">
                  <c:v>0.64705882352941313</c:v>
                </c:pt>
                <c:pt idx="2">
                  <c:v>0.29411764705882382</c:v>
                </c:pt>
              </c:numCache>
            </c:numRef>
          </c:val>
          <c:extLst xmlns:c16r2="http://schemas.microsoft.com/office/drawing/2015/06/chart">
            <c:ext xmlns:c16="http://schemas.microsoft.com/office/drawing/2014/chart" uri="{C3380CC4-5D6E-409C-BE32-E72D297353CC}">
              <c16:uniqueId val="{00000000-F23F-4EA5-BEEF-106CE3D5C776}"/>
            </c:ext>
          </c:extLst>
        </c:ser>
        <c:dLbls/>
      </c:pie3DChart>
      <c:spPr>
        <a:noFill/>
        <a:ln w="25400">
          <a:noFill/>
        </a:ln>
      </c:spPr>
    </c:plotArea>
    <c:legend>
      <c:legendPos val="r"/>
      <c:layout/>
    </c:legend>
    <c:plotVisOnly val="1"/>
    <c:dispBlanksAs val="zero"/>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A961-B7E1-4330-AE59-2BDD4680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1495</Words>
  <Characters>8078</Characters>
  <Application>Microsoft Office Word</Application>
  <DocSecurity>4</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pumpkeyn</dc:creator>
  <cp:lastModifiedBy>mika</cp:lastModifiedBy>
  <cp:revision>2</cp:revision>
  <dcterms:created xsi:type="dcterms:W3CDTF">2018-03-05T10:27:00Z</dcterms:created>
  <dcterms:modified xsi:type="dcterms:W3CDTF">2018-03-05T10:27:00Z</dcterms:modified>
</cp:coreProperties>
</file>